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7267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04608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274895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1</w:t>
            </w:r>
            <w:r>
              <w:rPr>
                <w:rFonts w:hint="eastAsia" w:ascii="黑体" w:hAnsi="黑体" w:eastAsia="黑体"/>
                <w:sz w:val="21"/>
                <w:szCs w:val="21"/>
                <w:lang w:val="en-US" w:eastAsia="zh-CN"/>
              </w:rPr>
              <w:t>3.100</w:t>
            </w:r>
            <w:r>
              <w:rPr>
                <w:rFonts w:ascii="黑体" w:hAnsi="黑体" w:eastAsia="黑体"/>
                <w:sz w:val="21"/>
                <w:szCs w:val="21"/>
              </w:rPr>
              <w:fldChar w:fldCharType="end"/>
            </w:r>
            <w:bookmarkEnd w:id="0"/>
          </w:p>
        </w:tc>
      </w:tr>
      <w:tr w14:paraId="70553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E956D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BD72E1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C</w:t>
            </w:r>
            <w:r>
              <w:rPr>
                <w:rFonts w:hint="eastAsia" w:ascii="黑体" w:hAnsi="黑体" w:eastAsia="黑体"/>
                <w:sz w:val="21"/>
                <w:szCs w:val="21"/>
                <w:lang w:val="en-US" w:eastAsia="zh-CN"/>
              </w:rPr>
              <w:t xml:space="preserve"> 52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492E9D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A76AF6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2877D4A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33DC587">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3085A2E">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81032C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535E4D2">
      <w:pPr>
        <w:pStyle w:val="50"/>
        <w:framePr w:w="9639" w:h="6976" w:hRule="exact" w:hSpace="0" w:vSpace="0" w:wrap="around" w:hAnchor="page" w:y="6408"/>
        <w:jc w:val="center"/>
        <w:rPr>
          <w:rFonts w:ascii="黑体" w:hAnsi="黑体" w:eastAsia="黑体"/>
          <w:b w:val="0"/>
          <w:bCs w:val="0"/>
          <w:w w:val="100"/>
        </w:rPr>
      </w:pPr>
    </w:p>
    <w:p w14:paraId="49B91DC0">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工作场所空气中草铵膦职业接触限值及检测技术规程</w:t>
      </w:r>
      <w:r>
        <w:fldChar w:fldCharType="end"/>
      </w:r>
      <w:bookmarkEnd w:id="9"/>
    </w:p>
    <w:p w14:paraId="49B1BF6D">
      <w:pPr>
        <w:framePr w:w="9639" w:h="6974" w:hRule="exact" w:wrap="around" w:vAnchor="page" w:hAnchor="page" w:x="1419" w:y="6408" w:anchorLock="1"/>
        <w:ind w:left="-1418"/>
      </w:pPr>
    </w:p>
    <w:p w14:paraId="45BA7E8B">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Technical code</w:t>
      </w:r>
      <w:r>
        <w:rPr>
          <w:rFonts w:hint="eastAsia" w:eastAsia="黑体"/>
          <w:szCs w:val="28"/>
        </w:rPr>
        <w:t xml:space="preserve"> for</w:t>
      </w:r>
      <w:r>
        <w:rPr>
          <w:rFonts w:hint="eastAsia" w:eastAsia="黑体"/>
          <w:szCs w:val="28"/>
          <w:lang w:val="en-US" w:eastAsia="zh-CN"/>
        </w:rPr>
        <w:t xml:space="preserve"> o</w:t>
      </w:r>
      <w:r>
        <w:rPr>
          <w:rFonts w:eastAsia="黑体"/>
          <w:szCs w:val="28"/>
        </w:rPr>
        <w:t>ccupational exposure limit and detection</w:t>
      </w:r>
      <w:r>
        <w:rPr>
          <w:rFonts w:hint="eastAsia" w:eastAsia="黑体"/>
          <w:szCs w:val="28"/>
          <w:lang w:val="en-US" w:eastAsia="zh-CN"/>
        </w:rPr>
        <w:t xml:space="preserve"> </w:t>
      </w:r>
      <w:r>
        <w:rPr>
          <w:rFonts w:eastAsia="黑体"/>
          <w:szCs w:val="28"/>
        </w:rPr>
        <w:t>for glufosinate ammonium in the air of workplace</w:t>
      </w:r>
      <w:r>
        <w:rPr>
          <w:rFonts w:eastAsia="黑体"/>
          <w:szCs w:val="28"/>
        </w:rPr>
        <w:fldChar w:fldCharType="end"/>
      </w:r>
      <w:bookmarkEnd w:id="10"/>
    </w:p>
    <w:p w14:paraId="5874FE5A">
      <w:pPr>
        <w:framePr w:w="9639" w:h="6974" w:hRule="exact" w:wrap="around" w:vAnchor="page" w:hAnchor="page" w:x="1419" w:y="6408" w:anchorLock="1"/>
        <w:spacing w:line="760" w:lineRule="exact"/>
        <w:ind w:left="-1418"/>
      </w:pPr>
    </w:p>
    <w:p w14:paraId="4B5A45CC">
      <w:pPr>
        <w:pStyle w:val="125"/>
        <w:framePr w:w="9639" w:h="6974" w:hRule="exact" w:wrap="around" w:vAnchor="page" w:hAnchor="page" w:x="1419" w:y="6408" w:anchorLock="1"/>
        <w:textAlignment w:val="bottom"/>
        <w:rPr>
          <w:rFonts w:eastAsia="黑体"/>
          <w:szCs w:val="28"/>
        </w:rPr>
      </w:pPr>
    </w:p>
    <w:p w14:paraId="662C80C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9EBD9D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FBC049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AC8F35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5D55BCD">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58C78C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1750DB4">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8A4C197">
      <w:pPr>
        <w:pStyle w:val="91"/>
        <w:spacing w:after="468"/>
      </w:pPr>
      <w:bookmarkStart w:id="55" w:name="_GoBack"/>
      <w:bookmarkEnd w:id="55"/>
      <w:bookmarkStart w:id="21" w:name="BookMark1"/>
      <w:bookmarkStart w:id="22" w:name="BookMark2"/>
      <w:r>
        <w:rPr>
          <w:spacing w:val="320"/>
        </w:rPr>
        <w:t>目</w:t>
      </w:r>
      <w:r>
        <w:t>次</w:t>
      </w:r>
    </w:p>
    <w:p w14:paraId="701F175C">
      <w:pPr>
        <w:pStyle w:val="19"/>
        <w:tabs>
          <w:tab w:val="right" w:leader="dot" w:pos="9344"/>
        </w:tabs>
        <w:rPr>
          <w:rFonts w:hint="eastAsia" w:eastAsia="宋体"/>
          <w:lang w:eastAsia="zh-CN"/>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"_Toc174696760" </w:instrText>
      </w:r>
      <w:r>
        <w:fldChar w:fldCharType="separate"/>
      </w:r>
      <w:r>
        <w:rPr>
          <w:rFonts w:hint="eastAsia"/>
          <w:lang w:val="en-US" w:eastAsia="zh-CN"/>
        </w:rPr>
        <w:t>前言</w:t>
      </w:r>
      <w:r>
        <w:tab/>
      </w:r>
      <w:r>
        <w:fldChar w:fldCharType="end"/>
      </w:r>
      <w:r>
        <w:rPr>
          <w:rFonts w:hint="eastAsia"/>
          <w:lang w:eastAsia="zh-CN"/>
        </w:rPr>
        <w:t>Ⅱ</w:t>
      </w:r>
    </w:p>
    <w:p w14:paraId="728DE878">
      <w:pPr>
        <w:pStyle w:val="19"/>
        <w:tabs>
          <w:tab w:val="right" w:leader="dot" w:pos="9344"/>
        </w:tabs>
        <w:rPr>
          <w:rFonts w:asciiTheme="minorHAnsi" w:hAnsiTheme="minorHAnsi" w:eastAsiaTheme="minorEastAsia" w:cstheme="minorBidi"/>
          <w:szCs w:val="22"/>
        </w:rPr>
      </w:pPr>
      <w:r>
        <w:fldChar w:fldCharType="begin"/>
      </w:r>
      <w:r>
        <w:instrText xml:space="preserve"> HYPERLINK \l "_Toc174696760" </w:instrText>
      </w:r>
      <w:r>
        <w:fldChar w:fldCharType="separate"/>
      </w:r>
      <w:r>
        <w:rPr>
          <w:rStyle w:val="32"/>
          <w:rFonts w:hint="eastAsia"/>
          <w:lang w:val="en-US" w:eastAsia="zh-CN"/>
        </w:rPr>
        <w:t>1</w:t>
      </w:r>
      <w:r>
        <w:rPr>
          <w:rStyle w:val="32"/>
        </w:rPr>
        <w:t xml:space="preserve">  </w:t>
      </w:r>
      <w:r>
        <w:rPr>
          <w:rStyle w:val="32"/>
          <w:rFonts w:hint="eastAsia"/>
          <w:lang w:val="en-US" w:eastAsia="zh-CN"/>
        </w:rPr>
        <w:t>范围</w:t>
      </w:r>
      <w:r>
        <w:tab/>
      </w:r>
      <w:r>
        <w:fldChar w:fldCharType="begin"/>
      </w:r>
      <w:r>
        <w:instrText xml:space="preserve"> PAGEREF _Toc174696760 \h </w:instrText>
      </w:r>
      <w:r>
        <w:fldChar w:fldCharType="separate"/>
      </w:r>
      <w:r>
        <w:t>1</w:t>
      </w:r>
      <w:r>
        <w:fldChar w:fldCharType="end"/>
      </w:r>
      <w:r>
        <w:fldChar w:fldCharType="end"/>
      </w:r>
    </w:p>
    <w:p w14:paraId="10199FFA">
      <w:pPr>
        <w:pStyle w:val="19"/>
        <w:tabs>
          <w:tab w:val="right" w:leader="dot" w:pos="9344"/>
        </w:tabs>
      </w:pPr>
      <w:r>
        <w:fldChar w:fldCharType="begin"/>
      </w:r>
      <w:r>
        <w:instrText xml:space="preserve"> HYPERLINK \l "_Toc174696760" </w:instrText>
      </w:r>
      <w:r>
        <w:fldChar w:fldCharType="separate"/>
      </w:r>
      <w:r>
        <w:rPr>
          <w:rStyle w:val="32"/>
        </w:rPr>
        <w:t>2  规范性引用文件</w:t>
      </w:r>
      <w:r>
        <w:tab/>
      </w:r>
      <w:r>
        <w:fldChar w:fldCharType="begin"/>
      </w:r>
      <w:r>
        <w:instrText xml:space="preserve"> PAGEREF _Toc174696760 \h </w:instrText>
      </w:r>
      <w:r>
        <w:fldChar w:fldCharType="separate"/>
      </w:r>
      <w:r>
        <w:t>1</w:t>
      </w:r>
      <w:r>
        <w:fldChar w:fldCharType="end"/>
      </w:r>
      <w:r>
        <w:fldChar w:fldCharType="end"/>
      </w:r>
    </w:p>
    <w:p w14:paraId="10399AAE">
      <w:pPr>
        <w:pStyle w:val="19"/>
        <w:tabs>
          <w:tab w:val="right" w:leader="dot" w:pos="9344"/>
        </w:tabs>
      </w:pPr>
      <w:r>
        <w:fldChar w:fldCharType="begin"/>
      </w:r>
      <w:r>
        <w:instrText xml:space="preserve"> HYPERLINK \l "_Toc174696761" </w:instrText>
      </w:r>
      <w:r>
        <w:fldChar w:fldCharType="separate"/>
      </w:r>
      <w:r>
        <w:rPr>
          <w:rStyle w:val="32"/>
        </w:rPr>
        <w:t>3  术语和定义</w:t>
      </w:r>
      <w:r>
        <w:tab/>
      </w:r>
      <w:r>
        <w:fldChar w:fldCharType="begin"/>
      </w:r>
      <w:r>
        <w:instrText xml:space="preserve"> PAGEREF _Toc174696761 \h </w:instrText>
      </w:r>
      <w:r>
        <w:fldChar w:fldCharType="separate"/>
      </w:r>
      <w:r>
        <w:t>1</w:t>
      </w:r>
      <w:r>
        <w:fldChar w:fldCharType="end"/>
      </w:r>
      <w:r>
        <w:fldChar w:fldCharType="end"/>
      </w:r>
    </w:p>
    <w:p w14:paraId="5CC3E8C5">
      <w:pPr>
        <w:pStyle w:val="19"/>
        <w:tabs>
          <w:tab w:val="right" w:leader="dot" w:pos="9344"/>
        </w:tabs>
        <w:rPr>
          <w:rFonts w:asciiTheme="minorHAnsi" w:hAnsiTheme="minorHAnsi" w:eastAsiaTheme="minorEastAsia" w:cstheme="minorBidi"/>
          <w:szCs w:val="22"/>
        </w:rPr>
      </w:pPr>
      <w:r>
        <w:fldChar w:fldCharType="begin"/>
      </w:r>
      <w:r>
        <w:instrText xml:space="preserve"> HYPERLINK \l "_Toc174696761" </w:instrText>
      </w:r>
      <w:r>
        <w:fldChar w:fldCharType="separate"/>
      </w:r>
      <w:r>
        <w:rPr>
          <w:rStyle w:val="32"/>
          <w:rFonts w:hint="eastAsia"/>
          <w:lang w:val="en-US" w:eastAsia="zh-CN"/>
        </w:rPr>
        <w:t>4</w:t>
      </w:r>
      <w:r>
        <w:rPr>
          <w:rStyle w:val="32"/>
        </w:rPr>
        <w:t xml:space="preserve">  </w:t>
      </w:r>
      <w:r>
        <w:rPr>
          <w:rFonts w:hint="eastAsia"/>
        </w:rPr>
        <w:t>工作</w:t>
      </w:r>
      <w:r>
        <w:t>场所</w:t>
      </w:r>
      <w:r>
        <w:rPr>
          <w:rFonts w:hint="eastAsia"/>
        </w:rPr>
        <w:t>空气中</w:t>
      </w:r>
      <w:r>
        <w:t>草铵膦</w:t>
      </w:r>
      <w:r>
        <w:rPr>
          <w:rFonts w:hint="eastAsia"/>
        </w:rPr>
        <w:t>职业接触</w:t>
      </w:r>
      <w:r>
        <w:t>限值</w:t>
      </w:r>
      <w:r>
        <w:tab/>
      </w:r>
      <w:r>
        <w:fldChar w:fldCharType="begin"/>
      </w:r>
      <w:r>
        <w:instrText xml:space="preserve"> PAGEREF _Toc174696761 \h </w:instrText>
      </w:r>
      <w:r>
        <w:fldChar w:fldCharType="separate"/>
      </w:r>
      <w:r>
        <w:t>1</w:t>
      </w:r>
      <w:r>
        <w:fldChar w:fldCharType="end"/>
      </w:r>
      <w:r>
        <w:fldChar w:fldCharType="end"/>
      </w:r>
    </w:p>
    <w:p w14:paraId="6D0C343C">
      <w:pPr>
        <w:pStyle w:val="19"/>
        <w:tabs>
          <w:tab w:val="right" w:leader="dot" w:pos="9344"/>
        </w:tabs>
        <w:rPr>
          <w:rFonts w:asciiTheme="minorHAnsi" w:hAnsiTheme="minorHAnsi" w:eastAsiaTheme="minorEastAsia" w:cstheme="minorBidi"/>
          <w:szCs w:val="22"/>
        </w:rPr>
      </w:pPr>
      <w:r>
        <w:fldChar w:fldCharType="begin"/>
      </w:r>
      <w:r>
        <w:instrText xml:space="preserve"> HYPERLINK \l "_Toc174696761" </w:instrText>
      </w:r>
      <w:r>
        <w:fldChar w:fldCharType="separate"/>
      </w:r>
      <w:r>
        <w:rPr>
          <w:rStyle w:val="32"/>
          <w:rFonts w:hint="eastAsia"/>
          <w:lang w:val="en-US" w:eastAsia="zh-CN"/>
        </w:rPr>
        <w:t>5</w:t>
      </w:r>
      <w:r>
        <w:rPr>
          <w:rStyle w:val="32"/>
        </w:rPr>
        <w:t xml:space="preserve">  </w:t>
      </w:r>
      <w:r>
        <w:rPr>
          <w:rFonts w:hint="eastAsia"/>
        </w:rPr>
        <w:t>草铵膦的溶剂洗脱-离子色谱法</w:t>
      </w:r>
      <w:r>
        <w:tab/>
      </w:r>
      <w:r>
        <w:fldChar w:fldCharType="begin"/>
      </w:r>
      <w:r>
        <w:instrText xml:space="preserve"> PAGEREF _Toc174696761 \h </w:instrText>
      </w:r>
      <w:r>
        <w:fldChar w:fldCharType="separate"/>
      </w:r>
      <w:r>
        <w:t>1</w:t>
      </w:r>
      <w:r>
        <w:fldChar w:fldCharType="end"/>
      </w:r>
      <w:r>
        <w:fldChar w:fldCharType="end"/>
      </w:r>
    </w:p>
    <w:p w14:paraId="340DE68A">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"_Toc174694420"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.1</w:t>
      </w:r>
      <w:r>
        <w:rPr>
          <w:rStyle w:val="32"/>
          <w14:scene3d>
            <w14:lightRig w14:rig="threePt" w14:dir="t">
              <w14:rot w14:lat="0" w14:lon="0" w14:rev="0"/>
            </w14:lightRig>
          </w14:scene3d>
        </w:rPr>
        <w:t xml:space="preserve"> </w:t>
      </w:r>
      <w:r>
        <w:rPr>
          <w:rStyle w:val="32"/>
          <w:rFonts w:hint="eastAsia"/>
        </w:rPr>
        <w:t xml:space="preserve"> </w:t>
      </w:r>
      <w:r>
        <w:rPr>
          <w:rStyle w:val="32"/>
          <w:rFonts w:hint="eastAsia"/>
          <w:lang w:val="en-US" w:eastAsia="zh-CN"/>
        </w:rPr>
        <w:t>原理</w:t>
      </w:r>
      <w:r>
        <w:rPr>
          <w:rFonts w:hint="eastAsia"/>
        </w:rPr>
        <w:tab/>
      </w:r>
      <w:r>
        <w:rPr>
          <w:rFonts w:hint="eastAsia"/>
          <w:lang w:val="en-US" w:eastAsia="zh-CN"/>
        </w:rPr>
        <w:t>1</w:t>
      </w:r>
      <w:r>
        <w:rPr>
          <w:rFonts w:hint="eastAsia"/>
        </w:rPr>
        <w:fldChar w:fldCharType="end"/>
      </w:r>
    </w:p>
    <w:p w14:paraId="145217B3">
      <w:pPr>
        <w:pStyle w:val="24"/>
        <w:rPr>
          <w:rFonts w:hint="eastAsia"/>
        </w:rPr>
      </w:pPr>
      <w:r>
        <w:fldChar w:fldCharType="begin"/>
      </w:r>
      <w:r>
        <w:instrText xml:space="preserve"> HYPERLINK \l "_Toc174694421"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.2</w:t>
      </w:r>
      <w:r>
        <w:rPr>
          <w:rStyle w:val="32"/>
          <w14:scene3d>
            <w14:lightRig w14:rig="threePt" w14:dir="t">
              <w14:rot w14:lat="0" w14:lon="0" w14:rev="0"/>
            </w14:lightRig>
          </w14:scene3d>
        </w:rPr>
        <w:t xml:space="preserve"> </w:t>
      </w:r>
      <w:r>
        <w:rPr>
          <w:rStyle w:val="32"/>
          <w:rFonts w:hint="eastAsia"/>
        </w:rPr>
        <w:t xml:space="preserve"> </w:t>
      </w:r>
      <w:r>
        <w:rPr>
          <w:rStyle w:val="32"/>
          <w:rFonts w:hint="eastAsia"/>
          <w:lang w:val="en-US" w:eastAsia="zh-CN"/>
        </w:rPr>
        <w:t>仪器</w:t>
      </w:r>
      <w:r>
        <w:rPr>
          <w:rFonts w:hint="eastAsia"/>
        </w:rPr>
        <w:tab/>
      </w:r>
      <w:r>
        <w:rPr>
          <w:rFonts w:hint="eastAsia"/>
          <w:lang w:val="en-US" w:eastAsia="zh-CN"/>
        </w:rPr>
        <w:t>1</w:t>
      </w:r>
      <w:r>
        <w:rPr>
          <w:rFonts w:hint="eastAsia"/>
        </w:rPr>
        <w:fldChar w:fldCharType="end"/>
      </w:r>
    </w:p>
    <w:p w14:paraId="00508889">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"_Toc174694420"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w:t>
      </w:r>
      <w:r>
        <w:rPr>
          <w:rStyle w:val="32"/>
          <w:rFonts w:hint="eastAsia"/>
          <w:lang w:val="en-US" w:eastAsia="zh-CN"/>
          <w14:scene3d>
            <w14:lightRig w14:rig="threePt" w14:dir="t">
              <w14:rot w14:lat="0" w14:lon="0" w14:rev="0"/>
            </w14:lightRig>
          </w14:scene3d>
        </w:rPr>
        <w:t>3</w:t>
      </w:r>
      <w:r>
        <w:rPr>
          <w:rStyle w:val="32"/>
          <w14:scene3d>
            <w14:lightRig w14:rig="threePt" w14:dir="t">
              <w14:rot w14:lat="0" w14:lon="0" w14:rev="0"/>
            </w14:lightRig>
          </w14:scene3d>
        </w:rPr>
        <w:t xml:space="preserve"> </w:t>
      </w:r>
      <w:r>
        <w:rPr>
          <w:rStyle w:val="32"/>
          <w:rFonts w:hint="eastAsia"/>
        </w:rPr>
        <w:t xml:space="preserve"> </w:t>
      </w:r>
      <w:r>
        <w:rPr>
          <w:rStyle w:val="32"/>
          <w:rFonts w:hint="eastAsia"/>
          <w:lang w:val="en-US" w:eastAsia="zh-CN"/>
        </w:rPr>
        <w:t>试剂</w:t>
      </w:r>
      <w:r>
        <w:rPr>
          <w:rFonts w:hint="eastAsia"/>
        </w:rPr>
        <w:tab/>
      </w:r>
      <w:r>
        <w:rPr>
          <w:rFonts w:hint="eastAsia"/>
          <w:lang w:val="en-US" w:eastAsia="zh-CN"/>
        </w:rPr>
        <w:t>2</w:t>
      </w:r>
      <w:r>
        <w:rPr>
          <w:rFonts w:hint="eastAsia"/>
        </w:rPr>
        <w:fldChar w:fldCharType="end"/>
      </w:r>
    </w:p>
    <w:p w14:paraId="7AEDC6EE">
      <w:pPr>
        <w:pStyle w:val="24"/>
        <w:rPr>
          <w:rFonts w:hint="eastAsia"/>
        </w:rPr>
      </w:pPr>
      <w:r>
        <w:fldChar w:fldCharType="begin"/>
      </w:r>
      <w:r>
        <w:instrText xml:space="preserve"> HYPERLINK \l "_Toc174694421"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w:t>
      </w:r>
      <w:r>
        <w:rPr>
          <w:rStyle w:val="32"/>
          <w:rFonts w:hint="eastAsia"/>
          <w:lang w:val="en-US" w:eastAsia="zh-CN"/>
          <w14:scene3d>
            <w14:lightRig w14:rig="threePt" w14:dir="t">
              <w14:rot w14:lat="0" w14:lon="0" w14:rev="0"/>
            </w14:lightRig>
          </w14:scene3d>
        </w:rPr>
        <w:t>4</w:t>
      </w:r>
      <w:r>
        <w:rPr>
          <w:rStyle w:val="32"/>
          <w14:scene3d>
            <w14:lightRig w14:rig="threePt" w14:dir="t">
              <w14:rot w14:lat="0" w14:lon="0" w14:rev="0"/>
            </w14:lightRig>
          </w14:scene3d>
        </w:rPr>
        <w:t xml:space="preserve"> </w:t>
      </w:r>
      <w:r>
        <w:rPr>
          <w:rStyle w:val="32"/>
          <w:rFonts w:hint="eastAsia"/>
        </w:rPr>
        <w:t xml:space="preserve"> 样品的采集、运输和保存</w:t>
      </w:r>
      <w:r>
        <w:rPr>
          <w:rFonts w:hint="eastAsia"/>
        </w:rPr>
        <w:tab/>
      </w:r>
      <w:r>
        <w:rPr>
          <w:rFonts w:hint="eastAsia"/>
          <w:lang w:val="en-US" w:eastAsia="zh-CN"/>
        </w:rPr>
        <w:t>2</w:t>
      </w:r>
      <w:r>
        <w:rPr>
          <w:rFonts w:hint="eastAsia"/>
        </w:rPr>
        <w:fldChar w:fldCharType="end"/>
      </w:r>
    </w:p>
    <w:p w14:paraId="5B385C1B">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"_Toc174694420"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w:t>
      </w:r>
      <w:r>
        <w:rPr>
          <w:rStyle w:val="32"/>
          <w:rFonts w:hint="eastAsia"/>
          <w:lang w:val="en-US" w:eastAsia="zh-CN"/>
          <w14:scene3d>
            <w14:lightRig w14:rig="threePt" w14:dir="t">
              <w14:rot w14:lat="0" w14:lon="0" w14:rev="0"/>
            </w14:lightRig>
          </w14:scene3d>
        </w:rPr>
        <w:t>5</w:t>
      </w:r>
      <w:r>
        <w:rPr>
          <w:rStyle w:val="32"/>
          <w14:scene3d>
            <w14:lightRig w14:rig="threePt" w14:dir="t">
              <w14:rot w14:lat="0" w14:lon="0" w14:rev="0"/>
            </w14:lightRig>
          </w14:scene3d>
        </w:rPr>
        <w:t xml:space="preserve"> </w:t>
      </w:r>
      <w:r>
        <w:rPr>
          <w:rStyle w:val="32"/>
          <w:rFonts w:hint="eastAsia"/>
        </w:rPr>
        <w:t xml:space="preserve"> </w:t>
      </w:r>
      <w:r>
        <w:rPr>
          <w:rStyle w:val="32"/>
          <w:rFonts w:hint="eastAsia"/>
          <w:lang w:val="en-US" w:eastAsia="zh-CN"/>
        </w:rPr>
        <w:t>分析步骤</w:t>
      </w:r>
      <w:r>
        <w:rPr>
          <w:rFonts w:hint="eastAsia"/>
        </w:rPr>
        <w:tab/>
      </w:r>
      <w:r>
        <w:rPr>
          <w:rFonts w:hint="eastAsia"/>
          <w:lang w:val="en-US" w:eastAsia="zh-CN"/>
        </w:rPr>
        <w:t>3</w:t>
      </w:r>
      <w:r>
        <w:rPr>
          <w:rFonts w:hint="eastAsia"/>
        </w:rPr>
        <w:fldChar w:fldCharType="end"/>
      </w:r>
    </w:p>
    <w:p w14:paraId="34E2F4C0">
      <w:pPr>
        <w:pStyle w:val="24"/>
        <w:rPr>
          <w:rFonts w:hint="eastAsia"/>
        </w:rPr>
      </w:pPr>
      <w:r>
        <w:fldChar w:fldCharType="begin"/>
      </w:r>
      <w:r>
        <w:instrText xml:space="preserve"> HYPERLINK \l "_Toc174694421"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w:t>
      </w:r>
      <w:r>
        <w:rPr>
          <w:rStyle w:val="32"/>
          <w:rFonts w:hint="eastAsia"/>
          <w:lang w:val="en-US" w:eastAsia="zh-CN"/>
          <w14:scene3d>
            <w14:lightRig w14:rig="threePt" w14:dir="t">
              <w14:rot w14:lat="0" w14:lon="0" w14:rev="0"/>
            </w14:lightRig>
          </w14:scene3d>
        </w:rPr>
        <w:t>6</w:t>
      </w:r>
      <w:r>
        <w:rPr>
          <w:rStyle w:val="32"/>
          <w14:scene3d>
            <w14:lightRig w14:rig="threePt" w14:dir="t">
              <w14:rot w14:lat="0" w14:lon="0" w14:rev="0"/>
            </w14:lightRig>
          </w14:scene3d>
        </w:rPr>
        <w:t xml:space="preserve"> </w:t>
      </w:r>
      <w:r>
        <w:rPr>
          <w:rStyle w:val="32"/>
          <w:rFonts w:hint="eastAsia"/>
        </w:rPr>
        <w:t xml:space="preserve"> </w:t>
      </w:r>
      <w:r>
        <w:rPr>
          <w:rStyle w:val="32"/>
          <w:rFonts w:hint="eastAsia"/>
          <w:lang w:val="en-US" w:eastAsia="zh-CN"/>
        </w:rPr>
        <w:t>计算</w:t>
      </w:r>
      <w:r>
        <w:rPr>
          <w:rFonts w:hint="eastAsia"/>
        </w:rPr>
        <w:tab/>
      </w:r>
      <w:r>
        <w:rPr>
          <w:rFonts w:hint="eastAsia"/>
          <w:lang w:val="en-US" w:eastAsia="zh-CN"/>
        </w:rPr>
        <w:t>3</w:t>
      </w:r>
      <w:r>
        <w:rPr>
          <w:rFonts w:hint="eastAsia"/>
        </w:rPr>
        <w:fldChar w:fldCharType="end"/>
      </w:r>
    </w:p>
    <w:p w14:paraId="79814D25">
      <w:pPr>
        <w:pStyle w:val="24"/>
        <w:rPr>
          <w:rFonts w:hint="eastAsia" w:eastAsia="宋体"/>
          <w:lang w:val="en-US" w:eastAsia="zh-CN"/>
        </w:rPr>
      </w:pPr>
      <w:r>
        <w:fldChar w:fldCharType="begin"/>
      </w:r>
      <w:r>
        <w:instrText xml:space="preserve"> HYPERLINK \l "_Toc174694420" </w:instrText>
      </w:r>
      <w:r>
        <w:fldChar w:fldCharType="separate"/>
      </w:r>
      <w:r>
        <w:rPr>
          <w:rStyle w:val="32"/>
          <w:rFonts w:hint="eastAsia"/>
          <w:lang w:val="en-US" w:eastAsia="zh-CN"/>
          <w14:scene3d>
            <w14:lightRig w14:rig="threePt" w14:dir="t">
              <w14:rot w14:lat="0" w14:lon="0" w14:rev="0"/>
            </w14:lightRig>
          </w14:scene3d>
        </w:rPr>
        <w:t>5</w:t>
      </w:r>
      <w:r>
        <w:rPr>
          <w:rStyle w:val="32"/>
          <w:rFonts w:hint="eastAsia"/>
          <w14:scene3d>
            <w14:lightRig w14:rig="threePt" w14:dir="t">
              <w14:rot w14:lat="0" w14:lon="0" w14:rev="0"/>
            </w14:lightRig>
          </w14:scene3d>
        </w:rPr>
        <w:t>.</w:t>
      </w:r>
      <w:r>
        <w:rPr>
          <w:rStyle w:val="32"/>
          <w:rFonts w:hint="eastAsia"/>
          <w:lang w:val="en-US" w:eastAsia="zh-CN"/>
          <w14:scene3d>
            <w14:lightRig w14:rig="threePt" w14:dir="t">
              <w14:rot w14:lat="0" w14:lon="0" w14:rev="0"/>
            </w14:lightRig>
          </w14:scene3d>
        </w:rPr>
        <w:t>7</w:t>
      </w:r>
      <w:r>
        <w:rPr>
          <w:rStyle w:val="32"/>
          <w14:scene3d>
            <w14:lightRig w14:rig="threePt" w14:dir="t">
              <w14:rot w14:lat="0" w14:lon="0" w14:rev="0"/>
            </w14:lightRig>
          </w14:scene3d>
        </w:rPr>
        <w:t xml:space="preserve"> </w:t>
      </w:r>
      <w:r>
        <w:rPr>
          <w:rStyle w:val="32"/>
          <w:rFonts w:hint="eastAsia"/>
        </w:rPr>
        <w:t xml:space="preserve"> </w:t>
      </w:r>
      <w:r>
        <w:rPr>
          <w:rStyle w:val="32"/>
          <w:rFonts w:hint="eastAsia"/>
          <w:lang w:val="en-US" w:eastAsia="zh-CN"/>
        </w:rPr>
        <w:t>说明</w:t>
      </w:r>
      <w:r>
        <w:rPr>
          <w:rFonts w:hint="eastAsia"/>
        </w:rPr>
        <w:tab/>
      </w:r>
      <w:r>
        <w:rPr>
          <w:rFonts w:hint="eastAsia"/>
        </w:rPr>
        <w:fldChar w:fldCharType="end"/>
      </w:r>
      <w:r>
        <w:rPr>
          <w:rFonts w:hint="eastAsia"/>
          <w:lang w:val="en-US" w:eastAsia="zh-CN"/>
        </w:rPr>
        <w:t>3</w:t>
      </w:r>
    </w:p>
    <w:p w14:paraId="38C7E5E2">
      <w:pPr>
        <w:pStyle w:val="91"/>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4457AB61">
      <w:pPr>
        <w:pStyle w:val="89"/>
        <w:spacing w:after="468"/>
      </w:pPr>
      <w:r>
        <w:rPr>
          <w:spacing w:val="320"/>
        </w:rPr>
        <w:t>前</w:t>
      </w:r>
      <w:r>
        <w:t>言</w:t>
      </w:r>
    </w:p>
    <w:p w14:paraId="2C9DE3F1">
      <w:pPr>
        <w:pStyle w:val="56"/>
        <w:ind w:firstLine="420"/>
        <w:rPr>
          <w:rFonts w:hint="eastAsia"/>
        </w:rPr>
      </w:pPr>
      <w:r>
        <w:rPr>
          <w:rFonts w:hint="eastAsia"/>
        </w:rPr>
        <w:t xml:space="preserve">本文件按照GB/T 1.1—2020《标准化工作导则 </w:t>
      </w:r>
      <w:r>
        <w:rPr>
          <w:rFonts w:hint="eastAsia"/>
          <w:lang w:val="en-US" w:eastAsia="zh-CN"/>
        </w:rPr>
        <w:t xml:space="preserve"> </w:t>
      </w:r>
      <w:r>
        <w:rPr>
          <w:rFonts w:hint="eastAsia"/>
        </w:rPr>
        <w:t>第1部分：标准化文件的结构和起草规则》的规定起草。</w:t>
      </w:r>
    </w:p>
    <w:p w14:paraId="6FD4DB6C">
      <w:pPr>
        <w:pStyle w:val="56"/>
        <w:ind w:firstLine="420"/>
        <w:rPr>
          <w:rFonts w:hint="eastAsia"/>
        </w:rPr>
      </w:pPr>
      <w:r>
        <w:rPr>
          <w:rFonts w:hint="eastAsia"/>
        </w:rPr>
        <w:t>本文件由江苏省卫生</w:t>
      </w:r>
      <w:r>
        <w:rPr>
          <w:rFonts w:hint="eastAsia"/>
          <w:lang w:eastAsia="zh-CN"/>
        </w:rPr>
        <w:t>健康</w:t>
      </w:r>
      <w:r>
        <w:rPr>
          <w:rFonts w:hint="eastAsia"/>
        </w:rPr>
        <w:t>委员会提出</w:t>
      </w:r>
      <w:r>
        <w:rPr>
          <w:rFonts w:hint="eastAsia"/>
          <w:lang w:eastAsia="zh-CN"/>
        </w:rPr>
        <w:t>并组织实施</w:t>
      </w:r>
      <w:r>
        <w:rPr>
          <w:rFonts w:hint="eastAsia"/>
        </w:rPr>
        <w:t>。</w:t>
      </w:r>
    </w:p>
    <w:p w14:paraId="1D34F909">
      <w:pPr>
        <w:pStyle w:val="56"/>
        <w:ind w:firstLine="420"/>
        <w:rPr>
          <w:rFonts w:hint="eastAsia"/>
        </w:rPr>
      </w:pPr>
      <w:r>
        <w:rPr>
          <w:rFonts w:hint="eastAsia"/>
        </w:rPr>
        <w:t>本文件由江苏省卫生</w:t>
      </w:r>
      <w:r>
        <w:rPr>
          <w:rFonts w:hint="eastAsia"/>
          <w:lang w:eastAsia="zh-CN"/>
        </w:rPr>
        <w:t>健康</w:t>
      </w:r>
      <w:r>
        <w:rPr>
          <w:rFonts w:hint="eastAsia"/>
        </w:rPr>
        <w:t>标准化技术委员会归口。</w:t>
      </w:r>
    </w:p>
    <w:p w14:paraId="1172FFEE">
      <w:pPr>
        <w:pStyle w:val="56"/>
        <w:ind w:firstLine="420"/>
        <w:rPr>
          <w:rFonts w:hint="eastAsia"/>
        </w:rPr>
      </w:pPr>
      <w:r>
        <w:rPr>
          <w:rFonts w:hint="eastAsia"/>
        </w:rPr>
        <w:t>本文件起草单位：江苏省疾病预防控制中心、</w:t>
      </w:r>
      <w:r>
        <w:rPr>
          <w:rFonts w:hint="eastAsia"/>
          <w:lang w:eastAsia="zh-CN"/>
        </w:rPr>
        <w:t>南京医科大学、南京大学、扬州市疾病预防控制中心、</w:t>
      </w:r>
      <w:r>
        <w:rPr>
          <w:rFonts w:hint="eastAsia"/>
        </w:rPr>
        <w:t>镇江市疾病预防控制中心、南京市职业病防治院</w:t>
      </w:r>
      <w:r>
        <w:rPr>
          <w:rFonts w:hint="eastAsia"/>
          <w:lang w:eastAsia="zh-CN"/>
        </w:rPr>
        <w:t>、江苏理工学院</w:t>
      </w:r>
      <w:r>
        <w:rPr>
          <w:rFonts w:hint="eastAsia"/>
        </w:rPr>
        <w:t>。</w:t>
      </w:r>
    </w:p>
    <w:p w14:paraId="69730924">
      <w:pPr>
        <w:pStyle w:val="56"/>
        <w:ind w:firstLine="420"/>
        <w:rPr>
          <w:rFonts w:hint="eastAsia"/>
        </w:rPr>
      </w:pPr>
      <w:r>
        <w:rPr>
          <w:rFonts w:hint="eastAsia"/>
        </w:rPr>
        <w:t>本文件主要起草人：霍宗利、凌映茹、张锋、邱竞帆、朱宝立、周庆、潘旸、刘炘、窦建瑞、卞倩、潘丽萍、谢石、张昊、程士、鹿奎奎。</w:t>
      </w:r>
    </w:p>
    <w:p w14:paraId="156B311B">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2"/>
    <w:sdt>
      <w:sdtPr>
        <w:tag w:val="NEW_STAND_NAME"/>
        <w:id w:val="595910757"/>
        <w:lock w:val="sdtLocked"/>
        <w:placeholder>
          <w:docPart w:val="C1D6135DE9ED4E22A4D415C6D6135176"/>
        </w:placeholder>
      </w:sdtPr>
      <w:sdtContent>
        <w:p w14:paraId="6233D82C">
          <w:pPr>
            <w:pStyle w:val="177"/>
            <w:spacing w:before="3" w:beforeLines="1" w:after="686" w:afterLines="220"/>
          </w:pPr>
          <w:bookmarkStart w:id="23" w:name="NEW_STAND_NAME"/>
          <w:bookmarkStart w:id="24" w:name="BookMark4"/>
          <w:r>
            <w:rPr>
              <w:rFonts w:hint="eastAsia"/>
            </w:rPr>
            <w:t>工作场所空气中草铵膦职业接触限值及检测技术规程</w:t>
          </w:r>
        </w:p>
      </w:sdtContent>
    </w:sdt>
    <w:bookmarkEnd w:id="23"/>
    <w:p w14:paraId="5161AFF1">
      <w:pPr>
        <w:pStyle w:val="104"/>
        <w:spacing w:before="312" w:after="312"/>
      </w:pPr>
      <w:bookmarkStart w:id="25" w:name="_Toc173417430"/>
      <w:bookmarkStart w:id="26" w:name="_Toc17233325"/>
      <w:bookmarkStart w:id="27" w:name="_Toc17233333"/>
      <w:bookmarkStart w:id="28" w:name="_Toc26986530"/>
      <w:bookmarkStart w:id="29" w:name="_Toc26648465"/>
      <w:bookmarkStart w:id="30" w:name="_Toc26986771"/>
      <w:bookmarkStart w:id="31" w:name="_Toc24884211"/>
      <w:bookmarkStart w:id="32" w:name="_Toc26718930"/>
      <w:bookmarkStart w:id="33" w:name="_Toc24884218"/>
      <w:r>
        <w:rPr>
          <w:rFonts w:hint="eastAsia"/>
        </w:rPr>
        <w:t>范围</w:t>
      </w:r>
      <w:bookmarkEnd w:id="25"/>
      <w:bookmarkEnd w:id="26"/>
      <w:bookmarkEnd w:id="27"/>
      <w:bookmarkEnd w:id="28"/>
      <w:bookmarkEnd w:id="29"/>
      <w:bookmarkEnd w:id="30"/>
      <w:bookmarkEnd w:id="31"/>
      <w:bookmarkEnd w:id="32"/>
      <w:bookmarkEnd w:id="33"/>
    </w:p>
    <w:p w14:paraId="37EB009A">
      <w:pPr>
        <w:pStyle w:val="56"/>
        <w:ind w:firstLine="420"/>
        <w:rPr>
          <w:rFonts w:hint="eastAsia"/>
        </w:rPr>
      </w:pPr>
      <w:bookmarkStart w:id="34" w:name="_Toc24884219"/>
      <w:bookmarkStart w:id="35" w:name="_Toc17233326"/>
      <w:bookmarkStart w:id="36" w:name="_Toc17233334"/>
      <w:bookmarkStart w:id="37" w:name="_Toc26648466"/>
      <w:bookmarkStart w:id="38" w:name="_Toc24884212"/>
      <w:r>
        <w:rPr>
          <w:rFonts w:hint="eastAsia"/>
        </w:rPr>
        <w:t xml:space="preserve">本文件规定了工作场所空气中草铵膦的职业接触限值和检测方法。 </w:t>
      </w:r>
    </w:p>
    <w:p w14:paraId="561B07D1">
      <w:pPr>
        <w:pStyle w:val="56"/>
        <w:ind w:firstLine="420"/>
      </w:pPr>
      <w:r>
        <w:rPr>
          <w:rFonts w:hint="eastAsia"/>
        </w:rPr>
        <w:t>本文件适用于生产和使用草铵膦的各类企业工作场所空气中草铵膦的检测及职业接触的评价。</w:t>
      </w:r>
    </w:p>
    <w:p w14:paraId="3D46FF1E">
      <w:pPr>
        <w:pStyle w:val="104"/>
        <w:spacing w:before="312" w:after="312"/>
      </w:pPr>
      <w:bookmarkStart w:id="39" w:name="_Toc26986772"/>
      <w:bookmarkStart w:id="40" w:name="_Toc173417431"/>
      <w:bookmarkStart w:id="41" w:name="_Toc26986531"/>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2AA248228BA347B9A7FAB91463BB68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E30D05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C8221A">
      <w:pPr>
        <w:pStyle w:val="56"/>
        <w:ind w:firstLine="420"/>
        <w:rPr>
          <w:rFonts w:hint="eastAsia"/>
        </w:rPr>
      </w:pPr>
      <w:r>
        <w:rPr>
          <w:rFonts w:ascii="Times New Roman"/>
        </w:rPr>
        <w:t>GBZ 2.1</w:t>
      </w:r>
      <w:r>
        <w:rPr>
          <w:rFonts w:hint="eastAsia"/>
        </w:rPr>
        <w:t xml:space="preserve"> 工作场所有害因素职业接触限值 第1部分：化学有害因素</w:t>
      </w:r>
    </w:p>
    <w:p w14:paraId="579CA794">
      <w:pPr>
        <w:pStyle w:val="56"/>
        <w:ind w:firstLine="420"/>
        <w:rPr>
          <w:rFonts w:hint="eastAsia"/>
        </w:rPr>
      </w:pPr>
      <w:bookmarkStart w:id="43" w:name="OLE_LINK2"/>
      <w:r>
        <w:rPr>
          <w:rFonts w:ascii="Times New Roman" w:eastAsia="宋体"/>
        </w:rPr>
        <w:t>GB/T 6682</w:t>
      </w:r>
      <w:r>
        <w:rPr>
          <w:rFonts w:hint="eastAsia" w:ascii="Times New Roman"/>
          <w:lang w:val="en-US" w:eastAsia="zh-CN"/>
        </w:rPr>
        <w:t xml:space="preserve"> 分析实验室用水规格和试验方法</w:t>
      </w:r>
      <w:bookmarkEnd w:id="43"/>
    </w:p>
    <w:p w14:paraId="7348192E">
      <w:pPr>
        <w:pStyle w:val="56"/>
        <w:ind w:firstLine="420"/>
        <w:rPr>
          <w:rFonts w:hint="eastAsia"/>
        </w:rPr>
      </w:pPr>
      <w:r>
        <w:rPr>
          <w:rFonts w:ascii="Times New Roman"/>
        </w:rPr>
        <w:t>GBZ 159</w:t>
      </w:r>
      <w:r>
        <w:rPr>
          <w:rFonts w:hint="eastAsia"/>
        </w:rPr>
        <w:t xml:space="preserve"> 工作场所空气中有害物质监测的采样规范</w:t>
      </w:r>
      <w:bookmarkStart w:id="44" w:name="_Toc127175963"/>
      <w:bookmarkEnd w:id="44"/>
      <w:bookmarkStart w:id="45" w:name="_Toc127175997"/>
      <w:bookmarkEnd w:id="45"/>
      <w:bookmarkStart w:id="46" w:name="_Toc127175823"/>
      <w:bookmarkEnd w:id="46"/>
    </w:p>
    <w:p w14:paraId="1B0BA23E">
      <w:pPr>
        <w:pStyle w:val="56"/>
        <w:ind w:firstLine="420"/>
        <w:rPr>
          <w:rFonts w:hint="eastAsia"/>
        </w:rPr>
      </w:pPr>
      <w:r>
        <w:rPr>
          <w:rFonts w:ascii="Times New Roman"/>
        </w:rPr>
        <w:t>GBZ/T 210.4</w:t>
      </w:r>
      <w:r>
        <w:rPr>
          <w:rFonts w:hint="eastAsia"/>
        </w:rPr>
        <w:t xml:space="preserve"> 职业卫生标准制定指南 第4部分：工作场所空气中化学物质的测定方法</w:t>
      </w:r>
    </w:p>
    <w:p w14:paraId="7247319F">
      <w:pPr>
        <w:pStyle w:val="104"/>
        <w:spacing w:before="312" w:after="312"/>
      </w:pPr>
      <w:bookmarkStart w:id="47" w:name="_Toc173417432"/>
      <w:r>
        <w:rPr>
          <w:rFonts w:hint="eastAsia"/>
          <w:szCs w:val="21"/>
        </w:rPr>
        <w:t>术语和定义</w:t>
      </w:r>
      <w:bookmarkEnd w:id="47"/>
    </w:p>
    <w:sdt>
      <w:sdtPr>
        <w:rPr>
          <w:rFonts w:ascii="Times New Roman"/>
        </w:rPr>
        <w:id w:val="-1909835108"/>
        <w:placeholder>
          <w:docPart w:val="EE9C88F92D1A406090EAE77C4FDF77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74E3D986">
          <w:pPr>
            <w:pStyle w:val="56"/>
            <w:ind w:firstLine="409" w:firstLineChars="195"/>
            <w:rPr>
              <w:rFonts w:hint="eastAsia"/>
            </w:rPr>
          </w:pPr>
          <w:bookmarkStart w:id="48" w:name="_Toc26986532"/>
          <w:bookmarkEnd w:id="48"/>
          <w:r>
            <w:rPr>
              <w:rFonts w:ascii="Times New Roman"/>
            </w:rPr>
            <w:t>GBZ 2.1界定的术语和定义适用于本文件。</w:t>
          </w:r>
        </w:p>
      </w:sdtContent>
    </w:sdt>
    <w:p w14:paraId="475738DE">
      <w:pPr>
        <w:pStyle w:val="104"/>
        <w:spacing w:before="312" w:after="312"/>
      </w:pPr>
      <w:bookmarkStart w:id="49" w:name="OLE_LINK3"/>
      <w:bookmarkStart w:id="50" w:name="OLE_LINK1"/>
      <w:r>
        <w:rPr>
          <w:rFonts w:hint="eastAsia"/>
        </w:rPr>
        <w:t>工作</w:t>
      </w:r>
      <w:r>
        <w:t>场所</w:t>
      </w:r>
      <w:r>
        <w:rPr>
          <w:rFonts w:hint="eastAsia"/>
        </w:rPr>
        <w:t>空气中</w:t>
      </w:r>
      <w:r>
        <w:t>草铵膦</w:t>
      </w:r>
      <w:r>
        <w:rPr>
          <w:rFonts w:hint="eastAsia"/>
        </w:rPr>
        <w:t>职业接触</w:t>
      </w:r>
      <w:r>
        <w:t>限值</w:t>
      </w:r>
      <w:bookmarkEnd w:id="49"/>
    </w:p>
    <w:bookmarkEnd w:id="50"/>
    <w:p w14:paraId="7A8CD766">
      <w:pPr>
        <w:pStyle w:val="56"/>
        <w:ind w:firstLine="420"/>
        <w:rPr>
          <w:rFonts w:hint="eastAsia"/>
        </w:rPr>
      </w:pPr>
      <w:r>
        <w:rPr>
          <w:rFonts w:hint="eastAsia"/>
        </w:rPr>
        <w:t>工作场所空气中草铵膦职业接触限值见表1。</w:t>
      </w:r>
    </w:p>
    <w:p w14:paraId="080A93CD">
      <w:pPr>
        <w:pStyle w:val="112"/>
        <w:spacing w:before="156" w:after="156"/>
      </w:pPr>
      <w:r>
        <w:rPr>
          <w:rFonts w:hint="eastAsia"/>
        </w:rPr>
        <w:t>工作</w:t>
      </w:r>
      <w:r>
        <w:t>场所</w:t>
      </w:r>
      <w:r>
        <w:rPr>
          <w:rFonts w:hint="eastAsia"/>
        </w:rPr>
        <w:t>空气中</w:t>
      </w:r>
      <w:r>
        <w:t>草铵膦职业</w:t>
      </w:r>
      <w:r>
        <w:rPr>
          <w:rFonts w:hint="eastAsia"/>
        </w:rPr>
        <w:t>接触</w:t>
      </w:r>
      <w:r>
        <w:t>限值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168"/>
        <w:gridCol w:w="1168"/>
        <w:gridCol w:w="1167"/>
        <w:gridCol w:w="1166"/>
        <w:gridCol w:w="1166"/>
        <w:gridCol w:w="1166"/>
        <w:gridCol w:w="1166"/>
        <w:gridCol w:w="1167"/>
      </w:tblGrid>
      <w:tr w14:paraId="5E6D1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blHeader/>
          <w:jc w:val="center"/>
        </w:trPr>
        <w:tc>
          <w:tcPr>
            <w:tcW w:w="1168" w:type="dxa"/>
            <w:vMerge w:val="restart"/>
            <w:shd w:val="clear" w:color="auto" w:fill="auto"/>
            <w:vAlign w:val="center"/>
          </w:tcPr>
          <w:p w14:paraId="0E4D5895">
            <w:pPr>
              <w:pStyle w:val="178"/>
              <w:rPr>
                <w:rFonts w:hint="eastAsia"/>
                <w:szCs w:val="18"/>
              </w:rPr>
            </w:pPr>
            <w:r>
              <w:rPr>
                <w:rFonts w:hint="eastAsia"/>
                <w:szCs w:val="18"/>
              </w:rPr>
              <w:t>化合物</w:t>
            </w:r>
          </w:p>
        </w:tc>
        <w:tc>
          <w:tcPr>
            <w:tcW w:w="1168" w:type="dxa"/>
            <w:vMerge w:val="restart"/>
            <w:shd w:val="clear" w:color="auto" w:fill="auto"/>
            <w:vAlign w:val="center"/>
          </w:tcPr>
          <w:p w14:paraId="5F50A0AD">
            <w:pPr>
              <w:pStyle w:val="178"/>
              <w:rPr>
                <w:rFonts w:hint="eastAsia"/>
                <w:szCs w:val="18"/>
              </w:rPr>
            </w:pPr>
            <w:r>
              <w:rPr>
                <w:rFonts w:hint="eastAsia"/>
                <w:szCs w:val="18"/>
              </w:rPr>
              <w:t>英文名</w:t>
            </w:r>
          </w:p>
        </w:tc>
        <w:tc>
          <w:tcPr>
            <w:tcW w:w="1167" w:type="dxa"/>
            <w:vMerge w:val="restart"/>
            <w:shd w:val="clear" w:color="auto" w:fill="auto"/>
            <w:vAlign w:val="center"/>
          </w:tcPr>
          <w:p w14:paraId="16A0972D">
            <w:pPr>
              <w:pStyle w:val="178"/>
              <w:rPr>
                <w:rFonts w:ascii="Times New Roman"/>
                <w:szCs w:val="18"/>
              </w:rPr>
            </w:pPr>
            <w:r>
              <w:rPr>
                <w:rFonts w:ascii="Times New Roman"/>
                <w:szCs w:val="18"/>
              </w:rPr>
              <w:t>化学文摘号</w:t>
            </w:r>
          </w:p>
          <w:p w14:paraId="5F74D7AB">
            <w:pPr>
              <w:pStyle w:val="178"/>
              <w:rPr>
                <w:rFonts w:hint="eastAsia"/>
                <w:szCs w:val="18"/>
              </w:rPr>
            </w:pPr>
            <w:r>
              <w:rPr>
                <w:rFonts w:ascii="Times New Roman"/>
                <w:szCs w:val="18"/>
              </w:rPr>
              <w:t>（CAS 号）</w:t>
            </w:r>
          </w:p>
        </w:tc>
        <w:tc>
          <w:tcPr>
            <w:tcW w:w="1166" w:type="dxa"/>
            <w:vMerge w:val="restart"/>
            <w:shd w:val="clear" w:color="auto" w:fill="auto"/>
            <w:vAlign w:val="center"/>
          </w:tcPr>
          <w:p w14:paraId="4570827F">
            <w:pPr>
              <w:jc w:val="center"/>
              <w:rPr>
                <w:rFonts w:hint="eastAsia" w:eastAsia="宋体"/>
                <w:sz w:val="18"/>
                <w:szCs w:val="18"/>
                <w:lang w:eastAsia="zh-CN"/>
              </w:rPr>
            </w:pPr>
            <w:r>
              <w:rPr>
                <w:rFonts w:hint="eastAsia"/>
                <w:sz w:val="18"/>
                <w:szCs w:val="18"/>
                <w:lang w:val="en-US" w:eastAsia="zh-CN"/>
              </w:rPr>
              <w:t>分子式</w:t>
            </w:r>
          </w:p>
        </w:tc>
        <w:tc>
          <w:tcPr>
            <w:tcW w:w="1166" w:type="dxa"/>
            <w:vMerge w:val="restart"/>
            <w:shd w:val="clear" w:color="auto" w:fill="auto"/>
            <w:vAlign w:val="center"/>
          </w:tcPr>
          <w:p w14:paraId="2B04BB73">
            <w:pPr>
              <w:jc w:val="center"/>
              <w:rPr>
                <w:rFonts w:hint="eastAsia"/>
                <w:sz w:val="18"/>
                <w:szCs w:val="18"/>
              </w:rPr>
            </w:pPr>
            <w:r>
              <w:rPr>
                <w:rFonts w:hint="eastAsia"/>
                <w:sz w:val="18"/>
                <w:szCs w:val="18"/>
              </w:rPr>
              <w:t>相对</w:t>
            </w:r>
            <w:r>
              <w:rPr>
                <w:sz w:val="18"/>
                <w:szCs w:val="18"/>
              </w:rPr>
              <w:t>分子质量</w:t>
            </w:r>
          </w:p>
        </w:tc>
        <w:tc>
          <w:tcPr>
            <w:tcW w:w="3499" w:type="dxa"/>
            <w:gridSpan w:val="3"/>
            <w:shd w:val="clear" w:color="auto" w:fill="auto"/>
            <w:vAlign w:val="center"/>
          </w:tcPr>
          <w:p w14:paraId="31A8BC94">
            <w:pPr>
              <w:pStyle w:val="178"/>
              <w:rPr>
                <w:rFonts w:hint="eastAsia" w:eastAsia="宋体"/>
                <w:szCs w:val="18"/>
                <w:lang w:eastAsia="zh-CN"/>
              </w:rPr>
            </w:pPr>
            <w:r>
              <w:rPr>
                <w:rFonts w:hint="eastAsia"/>
                <w:szCs w:val="18"/>
              </w:rPr>
              <w:t>职业接触</w:t>
            </w:r>
            <w:r>
              <w:rPr>
                <w:szCs w:val="18"/>
              </w:rPr>
              <w:t>限</w:t>
            </w:r>
            <w:r>
              <w:rPr>
                <w:rFonts w:ascii="Times New Roman"/>
                <w:szCs w:val="18"/>
              </w:rPr>
              <w:t>值</w:t>
            </w:r>
            <w:r>
              <w:rPr>
                <w:rFonts w:hint="eastAsia" w:ascii="Times New Roman"/>
                <w:szCs w:val="18"/>
                <w:lang w:eastAsia="zh-CN"/>
              </w:rPr>
              <w:t>（</w:t>
            </w:r>
            <w:r>
              <w:rPr>
                <w:rFonts w:ascii="Times New Roman"/>
                <w:szCs w:val="18"/>
              </w:rPr>
              <w:t>mg/m</w:t>
            </w:r>
            <w:r>
              <w:rPr>
                <w:rFonts w:ascii="Times New Roman"/>
                <w:szCs w:val="18"/>
                <w:vertAlign w:val="superscript"/>
              </w:rPr>
              <w:t>3</w:t>
            </w:r>
            <w:r>
              <w:rPr>
                <w:rFonts w:hint="eastAsia" w:ascii="Times New Roman"/>
                <w:szCs w:val="18"/>
                <w:vertAlign w:val="baseline"/>
                <w:lang w:eastAsia="zh-CN"/>
              </w:rPr>
              <w:t>）</w:t>
            </w:r>
          </w:p>
        </w:tc>
      </w:tr>
      <w:tr w14:paraId="08475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168" w:type="dxa"/>
            <w:vMerge w:val="continue"/>
            <w:shd w:val="clear" w:color="auto" w:fill="auto"/>
            <w:vAlign w:val="center"/>
          </w:tcPr>
          <w:p w14:paraId="45DC3F66">
            <w:pPr>
              <w:pStyle w:val="178"/>
              <w:rPr>
                <w:rFonts w:ascii="Times New Roman"/>
                <w:szCs w:val="18"/>
              </w:rPr>
            </w:pPr>
          </w:p>
        </w:tc>
        <w:tc>
          <w:tcPr>
            <w:tcW w:w="1168" w:type="dxa"/>
            <w:vMerge w:val="continue"/>
            <w:shd w:val="clear" w:color="auto" w:fill="auto"/>
            <w:vAlign w:val="center"/>
          </w:tcPr>
          <w:p w14:paraId="3FD5B905">
            <w:pPr>
              <w:pStyle w:val="178"/>
              <w:rPr>
                <w:rFonts w:ascii="Times New Roman"/>
                <w:szCs w:val="18"/>
              </w:rPr>
            </w:pPr>
          </w:p>
        </w:tc>
        <w:tc>
          <w:tcPr>
            <w:tcW w:w="1167" w:type="dxa"/>
            <w:vMerge w:val="continue"/>
            <w:shd w:val="clear" w:color="auto" w:fill="auto"/>
            <w:vAlign w:val="center"/>
          </w:tcPr>
          <w:p w14:paraId="47E42A14">
            <w:pPr>
              <w:pStyle w:val="178"/>
              <w:rPr>
                <w:rFonts w:ascii="Times New Roman"/>
                <w:szCs w:val="18"/>
              </w:rPr>
            </w:pPr>
          </w:p>
        </w:tc>
        <w:tc>
          <w:tcPr>
            <w:tcW w:w="1166" w:type="dxa"/>
            <w:vMerge w:val="continue"/>
            <w:shd w:val="clear" w:color="auto" w:fill="auto"/>
            <w:vAlign w:val="center"/>
          </w:tcPr>
          <w:p w14:paraId="24F60918">
            <w:pPr>
              <w:jc w:val="center"/>
              <w:rPr>
                <w:rFonts w:ascii="Times New Roman" w:hAnsi="Times New Roman"/>
                <w:sz w:val="18"/>
                <w:szCs w:val="18"/>
              </w:rPr>
            </w:pPr>
          </w:p>
        </w:tc>
        <w:tc>
          <w:tcPr>
            <w:tcW w:w="1166" w:type="dxa"/>
            <w:vMerge w:val="continue"/>
            <w:shd w:val="clear" w:color="auto" w:fill="auto"/>
            <w:vAlign w:val="center"/>
          </w:tcPr>
          <w:p w14:paraId="2D824E7B">
            <w:pPr>
              <w:jc w:val="center"/>
              <w:rPr>
                <w:rFonts w:ascii="Times New Roman" w:hAnsi="Times New Roman"/>
                <w:sz w:val="18"/>
                <w:szCs w:val="18"/>
              </w:rPr>
            </w:pPr>
          </w:p>
        </w:tc>
        <w:tc>
          <w:tcPr>
            <w:tcW w:w="1166" w:type="dxa"/>
            <w:shd w:val="clear" w:color="auto" w:fill="auto"/>
            <w:vAlign w:val="center"/>
          </w:tcPr>
          <w:p w14:paraId="10E10BE7">
            <w:pPr>
              <w:pStyle w:val="178"/>
              <w:rPr>
                <w:rFonts w:ascii="Times New Roman"/>
                <w:szCs w:val="18"/>
              </w:rPr>
            </w:pPr>
            <w:r>
              <w:rPr>
                <w:rFonts w:ascii="Times New Roman"/>
                <w:szCs w:val="18"/>
              </w:rPr>
              <w:t>MAC</w:t>
            </w:r>
          </w:p>
        </w:tc>
        <w:tc>
          <w:tcPr>
            <w:tcW w:w="1166" w:type="dxa"/>
            <w:shd w:val="clear" w:color="auto" w:fill="auto"/>
            <w:vAlign w:val="center"/>
          </w:tcPr>
          <w:p w14:paraId="6FC887D1">
            <w:pPr>
              <w:pStyle w:val="178"/>
              <w:rPr>
                <w:rFonts w:ascii="Times New Roman"/>
                <w:szCs w:val="18"/>
              </w:rPr>
            </w:pPr>
            <w:r>
              <w:rPr>
                <w:rFonts w:ascii="Times New Roman"/>
                <w:szCs w:val="18"/>
              </w:rPr>
              <w:t>PC-TWA</w:t>
            </w:r>
          </w:p>
        </w:tc>
        <w:tc>
          <w:tcPr>
            <w:tcW w:w="1167" w:type="dxa"/>
            <w:shd w:val="clear" w:color="auto" w:fill="auto"/>
            <w:vAlign w:val="center"/>
          </w:tcPr>
          <w:p w14:paraId="7C08CFD6">
            <w:pPr>
              <w:pStyle w:val="178"/>
              <w:rPr>
                <w:rFonts w:ascii="Times New Roman"/>
                <w:szCs w:val="18"/>
              </w:rPr>
            </w:pPr>
            <w:r>
              <w:rPr>
                <w:rFonts w:ascii="Times New Roman"/>
                <w:szCs w:val="18"/>
              </w:rPr>
              <w:t>PC-STEL</w:t>
            </w:r>
          </w:p>
        </w:tc>
      </w:tr>
      <w:tr w14:paraId="2C3E9A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1168" w:type="dxa"/>
            <w:shd w:val="clear" w:color="auto" w:fill="auto"/>
            <w:vAlign w:val="center"/>
          </w:tcPr>
          <w:p w14:paraId="403F8102">
            <w:pPr>
              <w:pStyle w:val="178"/>
              <w:rPr>
                <w:rFonts w:ascii="Times New Roman"/>
                <w:szCs w:val="18"/>
              </w:rPr>
            </w:pPr>
            <w:r>
              <w:rPr>
                <w:rFonts w:hint="eastAsia" w:ascii="Times New Roman"/>
                <w:szCs w:val="18"/>
              </w:rPr>
              <w:t>草铵膦</w:t>
            </w:r>
          </w:p>
        </w:tc>
        <w:tc>
          <w:tcPr>
            <w:tcW w:w="1168" w:type="dxa"/>
            <w:shd w:val="clear" w:color="auto" w:fill="auto"/>
            <w:vAlign w:val="center"/>
          </w:tcPr>
          <w:p w14:paraId="44FEDDD5">
            <w:pPr>
              <w:pStyle w:val="178"/>
              <w:rPr>
                <w:rFonts w:ascii="Times New Roman"/>
                <w:szCs w:val="18"/>
              </w:rPr>
            </w:pPr>
            <w:r>
              <w:rPr>
                <w:rFonts w:ascii="Times New Roman"/>
                <w:szCs w:val="18"/>
              </w:rPr>
              <w:t>Glufosinate</w:t>
            </w:r>
            <w:r>
              <w:rPr>
                <w:rFonts w:hint="eastAsia" w:ascii="Times New Roman"/>
                <w:szCs w:val="18"/>
              </w:rPr>
              <w:t xml:space="preserve"> </w:t>
            </w:r>
            <w:r>
              <w:rPr>
                <w:rFonts w:ascii="Times New Roman"/>
                <w:szCs w:val="18"/>
              </w:rPr>
              <w:t>ammonium</w:t>
            </w:r>
          </w:p>
        </w:tc>
        <w:tc>
          <w:tcPr>
            <w:tcW w:w="1167" w:type="dxa"/>
            <w:shd w:val="clear" w:color="auto" w:fill="auto"/>
            <w:vAlign w:val="center"/>
          </w:tcPr>
          <w:p w14:paraId="73BB9D04">
            <w:pPr>
              <w:pStyle w:val="178"/>
              <w:rPr>
                <w:rFonts w:ascii="Times New Roman"/>
                <w:szCs w:val="18"/>
              </w:rPr>
            </w:pPr>
            <w:r>
              <w:rPr>
                <w:rFonts w:ascii="Times New Roman"/>
                <w:szCs w:val="18"/>
              </w:rPr>
              <w:t>77182-82-2</w:t>
            </w:r>
          </w:p>
        </w:tc>
        <w:tc>
          <w:tcPr>
            <w:tcW w:w="1166" w:type="dxa"/>
            <w:shd w:val="clear" w:color="auto" w:fill="auto"/>
            <w:vAlign w:val="center"/>
          </w:tcPr>
          <w:p w14:paraId="0A7BF2F9">
            <w:pPr>
              <w:pStyle w:val="178"/>
              <w:ind w:firstLine="0" w:firstLineChars="0"/>
              <w:rPr>
                <w:rFonts w:hint="default" w:ascii="Times New Roman" w:hAnsi="Times New Roman" w:eastAsia="宋体"/>
                <w:kern w:val="0"/>
                <w:sz w:val="18"/>
                <w:szCs w:val="18"/>
                <w:lang w:val="en-US" w:eastAsia="zh-CN"/>
              </w:rPr>
            </w:pPr>
            <w:r>
              <w:rPr>
                <w:rFonts w:hint="eastAsia" w:ascii="Times New Roman"/>
                <w:szCs w:val="18"/>
                <w:lang w:val="en-US" w:eastAsia="zh-CN"/>
              </w:rPr>
              <w:t>C</w:t>
            </w:r>
            <w:r>
              <w:rPr>
                <w:rFonts w:hint="eastAsia" w:ascii="Times New Roman"/>
                <w:szCs w:val="18"/>
                <w:vertAlign w:val="subscript"/>
                <w:lang w:val="en-US" w:eastAsia="zh-CN"/>
              </w:rPr>
              <w:t>5</w:t>
            </w:r>
            <w:r>
              <w:rPr>
                <w:rFonts w:hint="eastAsia" w:ascii="Times New Roman"/>
                <w:szCs w:val="18"/>
                <w:lang w:val="en-US" w:eastAsia="zh-CN"/>
              </w:rPr>
              <w:t>H</w:t>
            </w:r>
            <w:r>
              <w:rPr>
                <w:rFonts w:hint="eastAsia" w:ascii="Times New Roman"/>
                <w:szCs w:val="18"/>
                <w:vertAlign w:val="subscript"/>
                <w:lang w:val="en-US" w:eastAsia="zh-CN"/>
              </w:rPr>
              <w:t>18</w:t>
            </w:r>
            <w:r>
              <w:rPr>
                <w:rFonts w:hint="eastAsia" w:ascii="Times New Roman"/>
                <w:szCs w:val="18"/>
                <w:lang w:val="en-US" w:eastAsia="zh-CN"/>
              </w:rPr>
              <w:t>N</w:t>
            </w:r>
            <w:r>
              <w:rPr>
                <w:rFonts w:hint="eastAsia" w:ascii="Times New Roman"/>
                <w:szCs w:val="18"/>
                <w:vertAlign w:val="subscript"/>
                <w:lang w:val="en-US" w:eastAsia="zh-CN"/>
              </w:rPr>
              <w:t>3</w:t>
            </w:r>
            <w:r>
              <w:rPr>
                <w:rFonts w:hint="eastAsia" w:ascii="Times New Roman"/>
                <w:szCs w:val="18"/>
                <w:lang w:val="en-US" w:eastAsia="zh-CN"/>
              </w:rPr>
              <w:t>O</w:t>
            </w:r>
            <w:r>
              <w:rPr>
                <w:rFonts w:hint="eastAsia" w:ascii="Times New Roman"/>
                <w:szCs w:val="18"/>
                <w:vertAlign w:val="subscript"/>
                <w:lang w:val="en-US" w:eastAsia="zh-CN"/>
              </w:rPr>
              <w:t>4</w:t>
            </w:r>
            <w:r>
              <w:rPr>
                <w:rFonts w:hint="eastAsia" w:ascii="Times New Roman"/>
                <w:szCs w:val="18"/>
                <w:lang w:val="en-US" w:eastAsia="zh-CN"/>
              </w:rPr>
              <w:t>P</w:t>
            </w:r>
          </w:p>
        </w:tc>
        <w:tc>
          <w:tcPr>
            <w:tcW w:w="1166" w:type="dxa"/>
            <w:shd w:val="clear" w:color="auto" w:fill="auto"/>
            <w:vAlign w:val="center"/>
          </w:tcPr>
          <w:p w14:paraId="08843430">
            <w:pPr>
              <w:pStyle w:val="178"/>
              <w:rPr>
                <w:rFonts w:ascii="Times New Roman"/>
                <w:szCs w:val="18"/>
              </w:rPr>
            </w:pPr>
            <w:r>
              <w:rPr>
                <w:rFonts w:ascii="Times New Roman"/>
                <w:szCs w:val="18"/>
              </w:rPr>
              <w:t>215.2</w:t>
            </w:r>
          </w:p>
        </w:tc>
        <w:tc>
          <w:tcPr>
            <w:tcW w:w="1166" w:type="dxa"/>
            <w:shd w:val="clear" w:color="auto" w:fill="auto"/>
            <w:vAlign w:val="center"/>
          </w:tcPr>
          <w:p w14:paraId="499D7478">
            <w:pPr>
              <w:pStyle w:val="178"/>
              <w:rPr>
                <w:rFonts w:hint="eastAsia"/>
                <w:szCs w:val="18"/>
              </w:rPr>
            </w:pPr>
            <w:r>
              <w:rPr>
                <w:rFonts w:hint="eastAsia"/>
                <w:szCs w:val="18"/>
              </w:rPr>
              <w:t>-</w:t>
            </w:r>
          </w:p>
        </w:tc>
        <w:tc>
          <w:tcPr>
            <w:tcW w:w="1166" w:type="dxa"/>
            <w:shd w:val="clear" w:color="auto" w:fill="auto"/>
            <w:vAlign w:val="center"/>
          </w:tcPr>
          <w:p w14:paraId="0B4E7FCF">
            <w:pPr>
              <w:pStyle w:val="178"/>
              <w:rPr>
                <w:rFonts w:hint="eastAsia"/>
                <w:szCs w:val="18"/>
              </w:rPr>
            </w:pPr>
            <w:r>
              <w:rPr>
                <w:rFonts w:hint="default" w:ascii="Times New Roman" w:hAnsi="Times New Roman" w:cs="Times New Roman"/>
                <w:szCs w:val="18"/>
              </w:rPr>
              <w:t>0.12</w:t>
            </w:r>
          </w:p>
        </w:tc>
        <w:tc>
          <w:tcPr>
            <w:tcW w:w="1167" w:type="dxa"/>
            <w:shd w:val="clear" w:color="auto" w:fill="auto"/>
            <w:vAlign w:val="center"/>
          </w:tcPr>
          <w:p w14:paraId="56A496DE">
            <w:pPr>
              <w:pStyle w:val="178"/>
              <w:rPr>
                <w:rFonts w:hint="eastAsia"/>
                <w:szCs w:val="18"/>
              </w:rPr>
            </w:pPr>
            <w:r>
              <w:rPr>
                <w:rFonts w:hint="eastAsia"/>
                <w:szCs w:val="18"/>
              </w:rPr>
              <w:t>-</w:t>
            </w:r>
          </w:p>
        </w:tc>
      </w:tr>
    </w:tbl>
    <w:p w14:paraId="2DDEDC9C">
      <w:pPr>
        <w:pStyle w:val="104"/>
        <w:spacing w:before="312" w:after="312"/>
      </w:pPr>
      <w:bookmarkStart w:id="51" w:name="OLE_LINK5"/>
      <w:bookmarkStart w:id="52" w:name="OLE_LINK4"/>
      <w:r>
        <w:rPr>
          <w:rFonts w:hint="eastAsia"/>
        </w:rPr>
        <w:t>草铵膦的溶剂洗脱-离子色谱法</w:t>
      </w:r>
      <w:bookmarkEnd w:id="51"/>
    </w:p>
    <w:bookmarkEnd w:id="52"/>
    <w:p w14:paraId="509167D6">
      <w:pPr>
        <w:pStyle w:val="105"/>
        <w:spacing w:before="156" w:after="156"/>
      </w:pPr>
      <w:r>
        <w:rPr>
          <w:rFonts w:hint="eastAsia"/>
        </w:rPr>
        <w:t>原理</w:t>
      </w:r>
    </w:p>
    <w:p w14:paraId="6A60543F">
      <w:pPr>
        <w:widowControl/>
        <w:ind w:firstLine="420" w:firstLineChars="200"/>
        <w:jc w:val="left"/>
        <w:rPr>
          <w:rFonts w:hint="eastAsia" w:ascii="宋体" w:hAnsi="宋体" w:cs="宋体"/>
          <w:kern w:val="0"/>
          <w:sz w:val="24"/>
        </w:rPr>
      </w:pPr>
      <w:r>
        <w:rPr>
          <w:rFonts w:hint="eastAsia" w:ascii="宋体" w:hAnsi="宋体" w:cs="宋体"/>
          <w:kern w:val="0"/>
        </w:rPr>
        <w:t>空气中的草铵膦</w:t>
      </w:r>
      <w:r>
        <w:rPr>
          <w:rFonts w:hint="eastAsia" w:ascii="宋体" w:hAnsi="宋体" w:cs="宋体"/>
          <w:kern w:val="0"/>
          <w:lang w:val="en-US" w:eastAsia="zh-CN"/>
        </w:rPr>
        <w:t>采</w:t>
      </w:r>
      <w:r>
        <w:rPr>
          <w:rFonts w:hint="eastAsia" w:ascii="宋体" w:hAnsi="宋体" w:cs="宋体"/>
          <w:kern w:val="0"/>
        </w:rPr>
        <w:t>用玻璃纤维滤纸采集，</w:t>
      </w:r>
      <w:r>
        <w:rPr>
          <w:rFonts w:hint="eastAsia" w:ascii="宋体" w:hAnsi="宋体" w:cs="宋体"/>
          <w:kern w:val="0"/>
          <w:lang w:val="en-US" w:eastAsia="zh-CN"/>
        </w:rPr>
        <w:t>用</w:t>
      </w:r>
      <w:r>
        <w:rPr>
          <w:rFonts w:hint="eastAsia" w:ascii="宋体" w:hAnsi="宋体" w:cs="宋体"/>
          <w:kern w:val="0"/>
        </w:rPr>
        <w:t>水超声洗脱后进样，经离子色谱柱分离，电导检测器检测，</w:t>
      </w:r>
      <w:r>
        <w:rPr>
          <w:rFonts w:hint="eastAsia" w:hAnsi="宋体" w:cs="宋体"/>
        </w:rPr>
        <w:t>以保留时间定性，峰面积定量。</w:t>
      </w:r>
    </w:p>
    <w:p w14:paraId="3A2E542E">
      <w:pPr>
        <w:pStyle w:val="105"/>
        <w:spacing w:before="156" w:after="156"/>
      </w:pPr>
      <w:r>
        <w:rPr>
          <w:rFonts w:hint="eastAsia"/>
        </w:rPr>
        <w:t>仪器</w:t>
      </w:r>
    </w:p>
    <w:p w14:paraId="55977D8F">
      <w:pPr>
        <w:pStyle w:val="65"/>
        <w:spacing w:before="156" w:after="156"/>
        <w:rPr>
          <w:rFonts w:ascii="宋体" w:hAnsi="宋体" w:eastAsia="宋体" w:cs="宋体"/>
        </w:rPr>
      </w:pPr>
      <w:r>
        <w:rPr>
          <w:rFonts w:hint="eastAsia" w:ascii="宋体" w:hAnsi="宋体" w:eastAsia="宋体" w:cs="宋体"/>
        </w:rPr>
        <w:t>玻璃纤维滤纸，直径为</w:t>
      </w:r>
      <w:r>
        <w:rPr>
          <w:rFonts w:ascii="Times New Roman" w:eastAsia="宋体"/>
        </w:rPr>
        <w:t>40 mm</w:t>
      </w:r>
      <w:r>
        <w:rPr>
          <w:rFonts w:hint="eastAsia" w:ascii="宋体" w:hAnsi="宋体" w:eastAsia="宋体" w:cs="宋体"/>
        </w:rPr>
        <w:t>；</w:t>
      </w:r>
    </w:p>
    <w:p w14:paraId="5B957207">
      <w:pPr>
        <w:pStyle w:val="65"/>
        <w:spacing w:before="156" w:after="156"/>
        <w:rPr>
          <w:rFonts w:ascii="Times New Roman" w:eastAsia="宋体"/>
          <w:kern w:val="2"/>
          <w:szCs w:val="24"/>
        </w:rPr>
      </w:pPr>
      <w:r>
        <w:rPr>
          <w:rFonts w:hint="eastAsia" w:ascii="宋体" w:hAnsi="宋体" w:eastAsia="宋体" w:cs="宋体"/>
          <w:kern w:val="2"/>
          <w:szCs w:val="24"/>
        </w:rPr>
        <w:t>采样夹，滤料直径为</w:t>
      </w:r>
      <w:r>
        <w:rPr>
          <w:rFonts w:ascii="Times New Roman" w:eastAsia="宋体"/>
          <w:kern w:val="2"/>
          <w:szCs w:val="24"/>
        </w:rPr>
        <w:t>40 mm</w:t>
      </w:r>
      <w:r>
        <w:rPr>
          <w:rFonts w:hint="eastAsia" w:ascii="Times New Roman" w:eastAsia="宋体"/>
          <w:kern w:val="2"/>
          <w:szCs w:val="24"/>
        </w:rPr>
        <w:t>；</w:t>
      </w:r>
    </w:p>
    <w:p w14:paraId="254A98B8">
      <w:pPr>
        <w:pStyle w:val="65"/>
        <w:spacing w:before="156" w:after="156"/>
        <w:rPr>
          <w:rFonts w:ascii="宋体" w:hAnsi="宋体" w:eastAsia="宋体" w:cs="宋体"/>
          <w:kern w:val="2"/>
          <w:szCs w:val="24"/>
        </w:rPr>
      </w:pPr>
      <w:r>
        <w:rPr>
          <w:rFonts w:hint="eastAsia" w:ascii="宋体" w:hAnsi="宋体" w:eastAsia="宋体" w:cs="宋体"/>
          <w:kern w:val="2"/>
          <w:szCs w:val="24"/>
        </w:rPr>
        <w:t>空气采样器，流量范围为</w:t>
      </w:r>
      <w:r>
        <w:rPr>
          <w:rFonts w:ascii="Times New Roman" w:eastAsia="宋体"/>
          <w:kern w:val="2"/>
          <w:szCs w:val="24"/>
        </w:rPr>
        <w:t>0 L/min～5 L/min</w:t>
      </w:r>
      <w:r>
        <w:rPr>
          <w:rFonts w:hint="eastAsia" w:ascii="宋体" w:hAnsi="宋体" w:eastAsia="宋体" w:cs="宋体"/>
          <w:kern w:val="2"/>
          <w:szCs w:val="24"/>
        </w:rPr>
        <w:t>；</w:t>
      </w:r>
    </w:p>
    <w:p w14:paraId="4BF6BB03">
      <w:pPr>
        <w:pStyle w:val="65"/>
        <w:spacing w:before="156" w:after="156"/>
        <w:rPr>
          <w:rFonts w:ascii="宋体" w:hAnsi="宋体" w:eastAsia="宋体" w:cs="宋体"/>
          <w:kern w:val="2"/>
          <w:szCs w:val="24"/>
        </w:rPr>
      </w:pPr>
      <w:r>
        <w:rPr>
          <w:rFonts w:hint="eastAsia" w:ascii="宋体" w:hAnsi="宋体" w:eastAsia="宋体" w:cs="宋体"/>
          <w:kern w:val="2"/>
          <w:szCs w:val="24"/>
        </w:rPr>
        <w:t>超声波清洗器；</w:t>
      </w:r>
    </w:p>
    <w:p w14:paraId="20AFD21C">
      <w:pPr>
        <w:pStyle w:val="65"/>
        <w:spacing w:before="156" w:after="156"/>
        <w:rPr>
          <w:rFonts w:ascii="宋体" w:hAnsi="宋体" w:eastAsia="宋体" w:cs="宋体"/>
          <w:kern w:val="2"/>
          <w:szCs w:val="24"/>
        </w:rPr>
      </w:pPr>
      <w:r>
        <w:rPr>
          <w:rFonts w:hint="eastAsia" w:ascii="宋体" w:hAnsi="宋体" w:eastAsia="宋体" w:cs="宋体"/>
          <w:kern w:val="2"/>
          <w:szCs w:val="24"/>
        </w:rPr>
        <w:t>涡旋振荡器；</w:t>
      </w:r>
    </w:p>
    <w:p w14:paraId="0ECC523D">
      <w:pPr>
        <w:pStyle w:val="65"/>
        <w:spacing w:before="156" w:after="156"/>
      </w:pPr>
      <w:r>
        <w:rPr>
          <w:rFonts w:hint="eastAsia" w:ascii="宋体" w:hAnsi="宋体" w:eastAsia="宋体" w:cs="宋体"/>
          <w:kern w:val="2"/>
          <w:szCs w:val="24"/>
        </w:rPr>
        <w:t>玻璃刻度具塞比色管，</w:t>
      </w:r>
      <w:r>
        <w:rPr>
          <w:rFonts w:ascii="Times New Roman"/>
        </w:rPr>
        <w:t>10 mL</w:t>
      </w:r>
      <w:r>
        <w:rPr>
          <w:rFonts w:hint="eastAsia"/>
        </w:rPr>
        <w:t>；</w:t>
      </w:r>
    </w:p>
    <w:p w14:paraId="431CD3AF">
      <w:pPr>
        <w:pStyle w:val="65"/>
        <w:spacing w:before="156" w:after="156"/>
        <w:rPr>
          <w:rFonts w:ascii="Times New Roman" w:eastAsia="宋体"/>
          <w:kern w:val="2"/>
          <w:szCs w:val="24"/>
        </w:rPr>
      </w:pPr>
      <w:r>
        <w:rPr>
          <w:rFonts w:ascii="Times New Roman" w:eastAsia="宋体"/>
          <w:kern w:val="2"/>
          <w:szCs w:val="24"/>
        </w:rPr>
        <w:t>微量注射器，50 μL；</w:t>
      </w:r>
    </w:p>
    <w:p w14:paraId="708DEE91">
      <w:pPr>
        <w:pStyle w:val="65"/>
        <w:spacing w:before="156" w:after="156"/>
        <w:rPr>
          <w:rFonts w:hint="eastAsia" w:ascii="Times New Roman" w:eastAsia="宋体"/>
          <w:kern w:val="2"/>
          <w:szCs w:val="24"/>
        </w:rPr>
      </w:pPr>
      <w:r>
        <w:rPr>
          <w:rFonts w:hint="eastAsia" w:ascii="Times New Roman" w:eastAsia="宋体"/>
          <w:kern w:val="2"/>
          <w:szCs w:val="24"/>
        </w:rPr>
        <w:t xml:space="preserve">针头式过滤器，混合纤维素，滤膜孔径0.22 </w:t>
      </w:r>
      <w:r>
        <w:rPr>
          <w:rFonts w:ascii="Times New Roman" w:eastAsia="宋体"/>
          <w:kern w:val="2"/>
          <w:szCs w:val="24"/>
        </w:rPr>
        <w:t>μm</w:t>
      </w:r>
      <w:r>
        <w:rPr>
          <w:rFonts w:hint="eastAsia" w:ascii="Times New Roman" w:eastAsia="宋体"/>
          <w:kern w:val="2"/>
          <w:szCs w:val="24"/>
        </w:rPr>
        <w:t>；</w:t>
      </w:r>
    </w:p>
    <w:p w14:paraId="0A584D6E">
      <w:pPr>
        <w:pStyle w:val="65"/>
        <w:spacing w:before="156" w:after="156"/>
        <w:rPr>
          <w:rFonts w:ascii="Times New Roman" w:eastAsia="宋体"/>
          <w:kern w:val="2"/>
          <w:szCs w:val="24"/>
        </w:rPr>
      </w:pPr>
      <w:r>
        <w:rPr>
          <w:rFonts w:hint="eastAsia" w:ascii="Times New Roman" w:eastAsia="宋体"/>
          <w:kern w:val="2"/>
          <w:szCs w:val="24"/>
        </w:rPr>
        <w:t>离子色谱仪，配有电导检测器，仪器操作参考条件：</w:t>
      </w:r>
    </w:p>
    <w:p w14:paraId="28123B9C">
      <w:pPr>
        <w:pStyle w:val="231"/>
        <w:numPr>
          <w:ilvl w:val="0"/>
          <w:numId w:val="13"/>
        </w:numPr>
        <w:tabs>
          <w:tab w:val="clear" w:pos="851"/>
        </w:tabs>
        <w:spacing w:before="156" w:after="156"/>
        <w:ind w:left="839" w:hanging="419"/>
        <w:rPr>
          <w:rFonts w:ascii="Calibri" w:hAnsi="Calibri"/>
          <w:szCs w:val="21"/>
        </w:rPr>
      </w:pPr>
      <w:r>
        <w:rPr>
          <w:rFonts w:hint="eastAsia"/>
        </w:rPr>
        <w:t>色谱柱：</w:t>
      </w:r>
      <w:r>
        <w:rPr>
          <w:rFonts w:ascii="Times New Roman"/>
        </w:rPr>
        <w:t>150 mm</w:t>
      </w:r>
      <w:r>
        <w:rPr>
          <w:rFonts w:hint="eastAsia" w:ascii="Times New Roman"/>
        </w:rPr>
        <w:t>×</w:t>
      </w:r>
      <w:r>
        <w:rPr>
          <w:rFonts w:ascii="Times New Roman"/>
        </w:rPr>
        <w:t>4.0 mm</w:t>
      </w:r>
      <w:r>
        <w:rPr>
          <w:rFonts w:hint="eastAsia" w:ascii="Times New Roman"/>
        </w:rPr>
        <w:t>，</w:t>
      </w:r>
      <w:r>
        <w:rPr>
          <w:rFonts w:ascii="Times New Roman"/>
        </w:rPr>
        <w:t>阴离子色谱柱和阴离子保护柱</w:t>
      </w:r>
      <w:r>
        <w:t>；</w:t>
      </w:r>
    </w:p>
    <w:p w14:paraId="27EAAC69">
      <w:pPr>
        <w:pStyle w:val="231"/>
        <w:numPr>
          <w:ilvl w:val="0"/>
          <w:numId w:val="13"/>
        </w:numPr>
        <w:tabs>
          <w:tab w:val="clear" w:pos="851"/>
        </w:tabs>
        <w:spacing w:before="156" w:after="156"/>
        <w:ind w:left="839" w:hanging="419"/>
        <w:rPr>
          <w:rFonts w:ascii="Calibri" w:hAnsi="Calibri"/>
          <w:szCs w:val="21"/>
        </w:rPr>
      </w:pPr>
      <w:r>
        <w:t>柱温：</w:t>
      </w:r>
      <w:r>
        <w:rPr>
          <w:rFonts w:ascii="Times New Roman"/>
        </w:rPr>
        <w:t>35</w:t>
      </w:r>
      <w:r>
        <w:rPr>
          <w:rFonts w:hint="eastAsia" w:hAnsi="宋体" w:cs="宋体"/>
        </w:rPr>
        <w:t>℃</w:t>
      </w:r>
      <w:r>
        <w:rPr>
          <w:rFonts w:hint="eastAsia"/>
        </w:rPr>
        <w:t>；</w:t>
      </w:r>
    </w:p>
    <w:p w14:paraId="50028E4D">
      <w:pPr>
        <w:pStyle w:val="231"/>
        <w:numPr>
          <w:ilvl w:val="0"/>
          <w:numId w:val="13"/>
        </w:numPr>
        <w:tabs>
          <w:tab w:val="clear" w:pos="851"/>
        </w:tabs>
        <w:spacing w:before="156" w:after="156"/>
        <w:ind w:left="839" w:hanging="419"/>
        <w:rPr>
          <w:rFonts w:ascii="Calibri" w:hAnsi="Calibri"/>
          <w:szCs w:val="21"/>
        </w:rPr>
      </w:pPr>
      <w:r>
        <w:t>流动相：</w:t>
      </w:r>
      <w:r>
        <w:rPr>
          <w:rFonts w:ascii="Times New Roman"/>
        </w:rPr>
        <w:t>1.9 mmol/L</w:t>
      </w:r>
      <w:r>
        <w:rPr>
          <w:rFonts w:hint="eastAsia" w:hAnsi="宋体"/>
        </w:rPr>
        <w:t>碳酸钠</w:t>
      </w:r>
      <w:r>
        <w:rPr>
          <w:rFonts w:hint="eastAsia"/>
        </w:rPr>
        <w:t>-</w:t>
      </w:r>
      <w:r>
        <w:rPr>
          <w:rFonts w:ascii="Times New Roman"/>
        </w:rPr>
        <w:t>0.6 mmol/L</w:t>
      </w:r>
      <w:r>
        <w:rPr>
          <w:rFonts w:hint="eastAsia" w:hAnsi="宋体"/>
        </w:rPr>
        <w:t>碳酸氢钠溶液；</w:t>
      </w:r>
    </w:p>
    <w:p w14:paraId="4606CDFF">
      <w:pPr>
        <w:pStyle w:val="231"/>
        <w:numPr>
          <w:ilvl w:val="0"/>
          <w:numId w:val="13"/>
        </w:numPr>
        <w:tabs>
          <w:tab w:val="clear" w:pos="851"/>
        </w:tabs>
        <w:spacing w:before="156" w:after="156"/>
        <w:ind w:left="839" w:hanging="419"/>
        <w:rPr>
          <w:rFonts w:ascii="Calibri" w:hAnsi="Calibri"/>
          <w:szCs w:val="21"/>
        </w:rPr>
      </w:pPr>
      <w:r>
        <w:rPr>
          <w:rFonts w:ascii="Calibri" w:hAnsi="Calibri"/>
          <w:szCs w:val="21"/>
        </w:rPr>
        <w:t>流速：</w:t>
      </w:r>
      <w:r>
        <w:rPr>
          <w:rFonts w:ascii="Times New Roman"/>
          <w:szCs w:val="21"/>
        </w:rPr>
        <w:t>0.7 mL/min</w:t>
      </w:r>
      <w:r>
        <w:rPr>
          <w:rFonts w:ascii="Calibri" w:hAnsi="Calibri"/>
          <w:szCs w:val="21"/>
        </w:rPr>
        <w:t>；</w:t>
      </w:r>
    </w:p>
    <w:p w14:paraId="5426B55E">
      <w:pPr>
        <w:pStyle w:val="231"/>
        <w:numPr>
          <w:ilvl w:val="0"/>
          <w:numId w:val="13"/>
        </w:numPr>
        <w:tabs>
          <w:tab w:val="clear" w:pos="851"/>
        </w:tabs>
        <w:spacing w:before="156" w:after="156"/>
        <w:ind w:left="839" w:hanging="419"/>
        <w:rPr>
          <w:rFonts w:hint="eastAsia" w:ascii="Calibri" w:hAnsi="Calibri"/>
          <w:szCs w:val="21"/>
        </w:rPr>
      </w:pPr>
      <w:r>
        <w:rPr>
          <w:rFonts w:hint="eastAsia"/>
        </w:rPr>
        <w:t>进样量：</w:t>
      </w:r>
      <w:r>
        <w:rPr>
          <w:rFonts w:ascii="Times New Roman"/>
        </w:rPr>
        <w:t>100 μL</w:t>
      </w:r>
      <w:r>
        <w:rPr>
          <w:rFonts w:hint="eastAsia"/>
        </w:rPr>
        <w:t>；</w:t>
      </w:r>
    </w:p>
    <w:p w14:paraId="3000DCEF">
      <w:pPr>
        <w:pStyle w:val="105"/>
        <w:spacing w:before="156" w:after="156"/>
      </w:pPr>
      <w:r>
        <w:rPr>
          <w:rFonts w:hint="eastAsia"/>
        </w:rPr>
        <w:t>试剂</w:t>
      </w:r>
    </w:p>
    <w:p w14:paraId="4AFA0545">
      <w:pPr>
        <w:pStyle w:val="65"/>
        <w:spacing w:before="156" w:after="156"/>
        <w:rPr>
          <w:rFonts w:ascii="Times New Roman" w:eastAsia="宋体"/>
        </w:rPr>
      </w:pPr>
      <w:r>
        <w:rPr>
          <w:rFonts w:ascii="Times New Roman" w:eastAsia="宋体"/>
        </w:rPr>
        <w:t>试验用水为GB/T 6682规定的一级水；</w:t>
      </w:r>
    </w:p>
    <w:p w14:paraId="6232685D">
      <w:pPr>
        <w:pStyle w:val="65"/>
        <w:spacing w:before="156" w:after="156"/>
        <w:rPr>
          <w:rFonts w:hint="eastAsia" w:ascii="Times New Roman" w:eastAsia="宋体"/>
        </w:rPr>
      </w:pPr>
      <w:r>
        <w:rPr>
          <w:rFonts w:hint="eastAsia" w:ascii="Times New Roman" w:eastAsia="宋体"/>
        </w:rPr>
        <w:t>碳酸氢钠，优级纯；</w:t>
      </w:r>
    </w:p>
    <w:p w14:paraId="1B18E07B">
      <w:pPr>
        <w:pStyle w:val="65"/>
        <w:spacing w:before="156" w:after="156"/>
        <w:rPr>
          <w:rFonts w:ascii="Times New Roman" w:eastAsia="宋体"/>
        </w:rPr>
      </w:pPr>
      <w:r>
        <w:rPr>
          <w:rFonts w:hint="eastAsia" w:ascii="Times New Roman" w:eastAsia="宋体"/>
        </w:rPr>
        <w:t>碳酸钠</w:t>
      </w:r>
      <w:r>
        <w:rPr>
          <w:rFonts w:ascii="Times New Roman" w:eastAsia="宋体"/>
        </w:rPr>
        <w:t>，</w:t>
      </w:r>
      <w:r>
        <w:rPr>
          <w:rFonts w:hint="eastAsia" w:ascii="Times New Roman" w:eastAsia="宋体"/>
        </w:rPr>
        <w:t>优级纯</w:t>
      </w:r>
      <w:r>
        <w:rPr>
          <w:rFonts w:ascii="Times New Roman" w:eastAsia="宋体"/>
        </w:rPr>
        <w:t>；</w:t>
      </w:r>
    </w:p>
    <w:p w14:paraId="22AD4A2B">
      <w:pPr>
        <w:pStyle w:val="65"/>
        <w:spacing w:before="156" w:after="156"/>
        <w:rPr>
          <w:rFonts w:ascii="Times New Roman" w:eastAsia="宋体"/>
        </w:rPr>
      </w:pPr>
      <w:r>
        <w:rPr>
          <w:rFonts w:ascii="Times New Roman" w:eastAsia="宋体"/>
        </w:rPr>
        <w:t>草铵膦标准品：纯度</w:t>
      </w:r>
      <w:r>
        <w:rPr>
          <w:rFonts w:hint="eastAsia" w:ascii="Times New Roman" w:eastAsia="宋体"/>
        </w:rPr>
        <w:t>≥</w:t>
      </w:r>
      <w:r>
        <w:rPr>
          <w:rFonts w:ascii="Times New Roman" w:eastAsia="宋体"/>
        </w:rPr>
        <w:t>98%，或经国家认证并授予标准物质证书的标准物质；</w:t>
      </w:r>
    </w:p>
    <w:p w14:paraId="431C7D3C">
      <w:pPr>
        <w:pStyle w:val="65"/>
        <w:spacing w:before="156" w:after="156"/>
        <w:rPr>
          <w:rFonts w:ascii="Times New Roman" w:eastAsia="宋体"/>
        </w:rPr>
      </w:pPr>
      <w:r>
        <w:rPr>
          <w:rFonts w:ascii="Times New Roman" w:eastAsia="宋体"/>
        </w:rPr>
        <w:t>标准溶液：准确称取一定量的草铵膦，溶于水，定量转移至容量瓶中，并用水定容至刻度，此溶液为草铵膦标准储备液；临用前，用水稀释成10 μg/mL草铵膦标准溶液。或用国家认可的标准溶液配制。</w:t>
      </w:r>
    </w:p>
    <w:p w14:paraId="2388A9E0">
      <w:pPr>
        <w:pStyle w:val="105"/>
        <w:spacing w:before="156" w:after="156"/>
      </w:pPr>
      <w:bookmarkStart w:id="53" w:name="OLE_LINK6"/>
      <w:r>
        <w:rPr>
          <w:rFonts w:hint="eastAsia"/>
        </w:rPr>
        <w:t>样品的采集、运输和保存</w:t>
      </w:r>
    </w:p>
    <w:bookmarkEnd w:id="53"/>
    <w:p w14:paraId="00CC5563">
      <w:pPr>
        <w:pStyle w:val="65"/>
        <w:spacing w:before="156" w:after="156"/>
        <w:rPr>
          <w:rFonts w:ascii="Times New Roman" w:eastAsia="宋体"/>
        </w:rPr>
      </w:pPr>
      <w:r>
        <w:rPr>
          <w:rFonts w:ascii="Times New Roman" w:eastAsia="宋体"/>
        </w:rPr>
        <w:t>采样点和采样对象的选择参照GBZ 159的要求执行。</w:t>
      </w:r>
    </w:p>
    <w:p w14:paraId="46A350F5">
      <w:pPr>
        <w:pStyle w:val="65"/>
        <w:spacing w:before="156" w:after="156"/>
        <w:rPr>
          <w:rFonts w:ascii="Times New Roman" w:eastAsia="宋体"/>
        </w:rPr>
      </w:pPr>
      <w:r>
        <w:rPr>
          <w:rFonts w:ascii="Times New Roman" w:eastAsia="宋体"/>
        </w:rPr>
        <w:t>短时间采样：在采样点，用装有玻璃纤维滤纸的采样夹，以2.0 L/min流量采集15 min空气样品。</w:t>
      </w:r>
    </w:p>
    <w:p w14:paraId="78F10089">
      <w:pPr>
        <w:pStyle w:val="65"/>
        <w:spacing w:before="156" w:after="156"/>
        <w:rPr>
          <w:rFonts w:ascii="Times New Roman" w:eastAsia="宋体"/>
        </w:rPr>
      </w:pPr>
      <w:r>
        <w:rPr>
          <w:rFonts w:ascii="Times New Roman" w:eastAsia="宋体"/>
        </w:rPr>
        <w:t>长时间采样：在采样点，用装有玻璃纤维滤纸的采样夹，以1.0 L/min流量采集2 h ~ 8 h空气样品。</w:t>
      </w:r>
    </w:p>
    <w:p w14:paraId="4326776E">
      <w:pPr>
        <w:pStyle w:val="65"/>
        <w:spacing w:before="156" w:after="156"/>
        <w:rPr>
          <w:rFonts w:ascii="Times New Roman" w:eastAsia="宋体"/>
        </w:rPr>
      </w:pPr>
      <w:r>
        <w:rPr>
          <w:rFonts w:hint="eastAsia" w:ascii="Times New Roman" w:eastAsia="宋体"/>
        </w:rPr>
        <w:t>采样后，打开采样夹，取出滤纸，接尘面</w:t>
      </w:r>
      <w:r>
        <w:rPr>
          <w:rFonts w:ascii="Times New Roman" w:eastAsia="宋体"/>
        </w:rPr>
        <w:t>朝里对折，</w:t>
      </w:r>
      <w:r>
        <w:rPr>
          <w:rFonts w:hint="eastAsia" w:ascii="Times New Roman" w:eastAsia="宋体"/>
        </w:rPr>
        <w:t>置清洁容器内密封运输和保存。</w:t>
      </w:r>
    </w:p>
    <w:p w14:paraId="0C1D055D">
      <w:pPr>
        <w:pStyle w:val="65"/>
        <w:spacing w:before="156" w:after="156"/>
        <w:rPr>
          <w:rFonts w:hint="eastAsia" w:ascii="Times New Roman" w:eastAsia="宋体"/>
        </w:rPr>
      </w:pPr>
      <w:r>
        <w:rPr>
          <w:rFonts w:ascii="Times New Roman" w:eastAsia="宋体"/>
        </w:rPr>
        <w:t>样品空白：在采样点，打开装有玻璃纤维滤纸的采样夹，立即取出滤纸，放入清洁的塑料袋或纸袋中，做好唯一性标识，然后同样品一起运输、保存和测定。每批次样品不少于2个样品空白。</w:t>
      </w:r>
    </w:p>
    <w:p w14:paraId="33687D84">
      <w:pPr>
        <w:pStyle w:val="105"/>
        <w:spacing w:before="156" w:after="156"/>
      </w:pPr>
      <w:r>
        <w:rPr>
          <w:rFonts w:hint="eastAsia"/>
        </w:rPr>
        <w:t>分析步骤</w:t>
      </w:r>
    </w:p>
    <w:p w14:paraId="4862F45C">
      <w:pPr>
        <w:pStyle w:val="65"/>
        <w:spacing w:before="156" w:after="156"/>
        <w:rPr>
          <w:rFonts w:ascii="Times New Roman" w:eastAsia="宋体"/>
        </w:rPr>
      </w:pPr>
      <w:r>
        <w:rPr>
          <w:rFonts w:ascii="Times New Roman" w:eastAsia="宋体"/>
        </w:rPr>
        <w:t>样品处理：将玻璃纤维滤纸转移至10.0 mL具塞比色管中，先加入8 mL水，将滤纸浸没，涡旋振荡1 min，于室温下超声20 min，补加水至总体积10 mL，经针头式过滤器过滤，样品溶液供测定。</w:t>
      </w:r>
    </w:p>
    <w:p w14:paraId="07590FFD">
      <w:pPr>
        <w:pStyle w:val="65"/>
        <w:spacing w:before="156" w:after="156"/>
        <w:rPr>
          <w:rFonts w:ascii="Times New Roman" w:eastAsia="宋体"/>
        </w:rPr>
      </w:pPr>
      <w:r>
        <w:rPr>
          <w:rFonts w:ascii="Times New Roman" w:eastAsia="宋体"/>
        </w:rPr>
        <w:t>标准曲线的制备：取4只～7只容量瓶，用水稀释标准溶液成0.0 µg/mL～1.0 µg/mL浓度范围的草铵膦标准系列。参照仪器操作条件，将离子色谱仪调节至最佳测定状态，进样100 µL，分别测定标准系列。以测得的峰面积对相应的草铵膦浓度</w:t>
      </w:r>
      <w:r>
        <w:rPr>
          <w:rFonts w:hint="eastAsia" w:ascii="Times New Roman" w:eastAsia="宋体"/>
          <w:lang w:eastAsia="zh-CN"/>
        </w:rPr>
        <w:t>（</w:t>
      </w:r>
      <w:r>
        <w:rPr>
          <w:rFonts w:ascii="Times New Roman" w:eastAsia="宋体"/>
        </w:rPr>
        <w:t>µg/mL</w:t>
      </w:r>
      <w:r>
        <w:rPr>
          <w:rFonts w:hint="eastAsia" w:ascii="Times New Roman" w:eastAsia="宋体"/>
          <w:lang w:eastAsia="zh-CN"/>
        </w:rPr>
        <w:t>）</w:t>
      </w:r>
      <w:r>
        <w:rPr>
          <w:rFonts w:ascii="Times New Roman" w:eastAsia="宋体"/>
        </w:rPr>
        <w:t>绘制标准曲线或计算回归方程，其相关系数应</w:t>
      </w:r>
      <w:r>
        <w:rPr>
          <w:rFonts w:hint="eastAsia" w:ascii="Times New Roman" w:eastAsia="宋体"/>
        </w:rPr>
        <w:t>≥</w:t>
      </w:r>
      <w:r>
        <w:rPr>
          <w:rFonts w:ascii="Times New Roman" w:eastAsia="宋体"/>
        </w:rPr>
        <w:t>0.999。</w:t>
      </w:r>
    </w:p>
    <w:p w14:paraId="5DC3486A">
      <w:pPr>
        <w:pStyle w:val="65"/>
        <w:spacing w:before="156" w:after="156"/>
        <w:rPr>
          <w:rFonts w:ascii="Times New Roman" w:eastAsia="宋体"/>
          <w:kern w:val="2"/>
          <w:szCs w:val="24"/>
        </w:rPr>
      </w:pPr>
      <w:r>
        <w:rPr>
          <w:rFonts w:ascii="Times New Roman" w:eastAsia="宋体"/>
        </w:rPr>
        <w:t>样品</w:t>
      </w:r>
      <w:r>
        <w:rPr>
          <w:rFonts w:ascii="Times New Roman" w:eastAsia="宋体"/>
          <w:kern w:val="2"/>
          <w:szCs w:val="24"/>
        </w:rPr>
        <w:t>测定：用测定标准系列的操作条件测定样品溶液和样品空白溶液，测得的峰面积值由标准曲线或回归方程得样品溶液中草铵膦的浓度（µg/mL）。若样品溶液中草铵膦浓度超过测定范围，用水稀释后测定，计算时乘以稀释倍数。</w:t>
      </w:r>
    </w:p>
    <w:p w14:paraId="08B903B1">
      <w:pPr>
        <w:pStyle w:val="105"/>
        <w:spacing w:before="156" w:after="156"/>
      </w:pPr>
      <w:r>
        <w:rPr>
          <w:rFonts w:hint="eastAsia"/>
        </w:rPr>
        <w:t>计算</w:t>
      </w:r>
    </w:p>
    <w:p w14:paraId="2A487808">
      <w:pPr>
        <w:pStyle w:val="65"/>
        <w:spacing w:before="156" w:after="156"/>
        <w:rPr>
          <w:rFonts w:ascii="Times New Roman" w:eastAsia="宋体"/>
          <w:kern w:val="2"/>
          <w:szCs w:val="24"/>
        </w:rPr>
      </w:pPr>
      <w:r>
        <w:rPr>
          <w:rFonts w:ascii="Times New Roman" w:eastAsia="宋体"/>
          <w:kern w:val="2"/>
          <w:szCs w:val="24"/>
        </w:rPr>
        <w:t>按GBZ 159的方法和要求将采样体积换算成标准采样体积。</w:t>
      </w:r>
    </w:p>
    <w:p w14:paraId="28A19726">
      <w:pPr>
        <w:pStyle w:val="65"/>
        <w:spacing w:before="156" w:after="156"/>
        <w:rPr>
          <w:rFonts w:ascii="Times New Roman" w:eastAsia="宋体"/>
          <w:kern w:val="2"/>
          <w:szCs w:val="24"/>
        </w:rPr>
      </w:pPr>
      <w:r>
        <w:rPr>
          <w:rFonts w:ascii="Times New Roman" w:eastAsia="宋体"/>
          <w:kern w:val="2"/>
          <w:szCs w:val="24"/>
        </w:rPr>
        <w:t>按式（1）计算空气中草铵膦的浓度：</w:t>
      </w:r>
    </w:p>
    <w:p w14:paraId="6C576E20">
      <w:pPr>
        <w:pStyle w:val="113"/>
      </w:pPr>
      <w:r>
        <w:tab/>
      </w:r>
      <w:r>
        <w:rPr>
          <w:rFonts w:hint="eastAsia" w:eastAsia="宋体"/>
          <w:color w:val="auto"/>
          <w:position w:val="-30"/>
          <w:lang w:val="en-US" w:eastAsia="zh-CN"/>
        </w:rPr>
        <w:object>
          <v:shape id="_x0000_i1025" o:spt="75" type="#_x0000_t75" style="height:34pt;width:46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ascii="微软雅黑" w:hAnsi="微软雅黑" w:eastAsia="微软雅黑"/>
        </w:rPr>
        <w:tab/>
      </w:r>
      <w:r>
        <w:t>(</w:t>
      </w:r>
      <w:r>
        <w:fldChar w:fldCharType="begin"/>
      </w:r>
      <w:r>
        <w:instrText xml:space="preserve"> AUTONUM </w:instrText>
      </w:r>
      <w:r>
        <w:fldChar w:fldCharType="end"/>
      </w:r>
      <w:r>
        <w:t>)</w:t>
      </w:r>
    </w:p>
    <w:p w14:paraId="2BD8141B">
      <w:pPr>
        <w:widowControl/>
        <w:ind w:firstLine="420" w:firstLineChars="200"/>
      </w:pPr>
      <w:r>
        <w:rPr>
          <w:rFonts w:hint="eastAsia"/>
        </w:rPr>
        <w:t>式中：</w:t>
      </w:r>
    </w:p>
    <w:p w14:paraId="303C1B97">
      <w:pPr>
        <w:widowControl/>
        <w:ind w:firstLine="420" w:firstLineChars="200"/>
        <w:rPr>
          <w:rFonts w:ascii="Times New Roman" w:hAnsi="Times New Roman" w:eastAsia="新宋体"/>
          <w:kern w:val="0"/>
        </w:rPr>
      </w:pPr>
      <w:r>
        <w:rPr>
          <w:rFonts w:ascii="Times New Roman" w:hAnsi="Times New Roman"/>
          <w:i/>
          <w:iCs/>
        </w:rPr>
        <w:t>C</w:t>
      </w:r>
      <w:r>
        <w:rPr>
          <w:rFonts w:hint="eastAsia"/>
        </w:rPr>
        <w:t>——</w:t>
      </w:r>
      <w:r>
        <w:rPr>
          <w:rFonts w:hint="eastAsia" w:ascii="Times New Roman" w:hAnsi="Times New Roman" w:eastAsia="新宋体"/>
          <w:kern w:val="0"/>
        </w:rPr>
        <w:t>空气中草铵膦的浓度，单位为毫克每立方米（mg/m</w:t>
      </w:r>
      <w:r>
        <w:rPr>
          <w:rFonts w:hint="eastAsia" w:ascii="Times New Roman" w:hAnsi="Times New Roman" w:eastAsia="新宋体"/>
          <w:kern w:val="0"/>
          <w:vertAlign w:val="superscript"/>
        </w:rPr>
        <w:t>3</w:t>
      </w:r>
      <w:r>
        <w:rPr>
          <w:rFonts w:hint="eastAsia" w:ascii="Times New Roman" w:hAnsi="Times New Roman" w:eastAsia="新宋体"/>
          <w:kern w:val="0"/>
        </w:rPr>
        <w:t>）；</w:t>
      </w:r>
    </w:p>
    <w:p w14:paraId="16ED6AE3">
      <w:pPr>
        <w:widowControl/>
        <w:ind w:firstLine="420" w:firstLineChars="200"/>
        <w:rPr>
          <w:rFonts w:hint="eastAsia" w:ascii="Times New Roman" w:hAnsi="Times New Roman" w:eastAsia="新宋体"/>
          <w:kern w:val="0"/>
        </w:rPr>
      </w:pPr>
      <w:r>
        <w:rPr>
          <w:rFonts w:hint="eastAsia" w:ascii="Times New Roman" w:hAnsi="Times New Roman" w:eastAsia="新宋体"/>
          <w:kern w:val="0"/>
        </w:rPr>
        <w:t>10——样品溶液的体积，单位为毫升（mL）；</w:t>
      </w:r>
    </w:p>
    <w:p w14:paraId="5648554C">
      <w:pPr>
        <w:widowControl/>
        <w:ind w:firstLine="420" w:firstLineChars="200"/>
        <w:jc w:val="left"/>
        <w:rPr>
          <w:rFonts w:hint="eastAsia" w:ascii="Times New Roman" w:hAnsi="Times New Roman" w:eastAsia="新宋体"/>
          <w:kern w:val="0"/>
        </w:rPr>
      </w:pPr>
      <w:r>
        <w:rPr>
          <w:rFonts w:hint="eastAsia" w:ascii="Times New Roman" w:hAnsi="Times New Roman" w:eastAsia="新宋体"/>
          <w:i/>
          <w:iCs/>
          <w:kern w:val="0"/>
        </w:rPr>
        <w:t>c</w:t>
      </w:r>
      <w:r>
        <w:rPr>
          <w:rFonts w:hint="eastAsia"/>
        </w:rPr>
        <w:t>——</w:t>
      </w:r>
      <w:r>
        <w:rPr>
          <w:rFonts w:hint="eastAsia" w:ascii="Times New Roman" w:hAnsi="Times New Roman" w:eastAsia="新宋体"/>
          <w:kern w:val="0"/>
        </w:rPr>
        <w:t>测得的样品溶液中草铵膦的浓度（减去样品空白），单位为微克每毫升（</w:t>
      </w:r>
      <w:r>
        <w:rPr>
          <w:rFonts w:ascii="Times New Roman" w:hAnsi="Times New Roman" w:eastAsia="新宋体"/>
          <w:kern w:val="0"/>
        </w:rPr>
        <w:t>µg/mL</w:t>
      </w:r>
      <w:r>
        <w:rPr>
          <w:rFonts w:hint="eastAsia" w:ascii="Times New Roman" w:hAnsi="Times New Roman" w:eastAsia="新宋体"/>
          <w:kern w:val="0"/>
        </w:rPr>
        <w:t>）；</w:t>
      </w:r>
    </w:p>
    <w:p w14:paraId="27898D35">
      <w:pPr>
        <w:widowControl/>
        <w:ind w:firstLine="420" w:firstLineChars="200"/>
        <w:jc w:val="left"/>
        <w:rPr>
          <w:rFonts w:hint="eastAsia" w:ascii="Times New Roman" w:hAnsi="Times New Roman" w:eastAsia="新宋体"/>
          <w:kern w:val="0"/>
        </w:rPr>
      </w:pPr>
      <w:r>
        <w:rPr>
          <w:rFonts w:ascii="Times New Roman" w:hAnsi="Times New Roman" w:eastAsia="新宋体"/>
          <w:i/>
          <w:iCs/>
          <w:kern w:val="0"/>
        </w:rPr>
        <w:t>V</w:t>
      </w:r>
      <w:r>
        <w:rPr>
          <w:rFonts w:ascii="Times New Roman" w:hAnsi="Times New Roman" w:eastAsia="新宋体"/>
          <w:i/>
          <w:iCs/>
          <w:kern w:val="0"/>
          <w:vertAlign w:val="subscript"/>
        </w:rPr>
        <w:t>0</w:t>
      </w:r>
      <w:r>
        <w:rPr>
          <w:rFonts w:hint="eastAsia"/>
        </w:rPr>
        <w:t>——</w:t>
      </w:r>
      <w:r>
        <w:rPr>
          <w:rFonts w:ascii="Times New Roman" w:hAnsi="Times New Roman" w:eastAsia="新宋体"/>
          <w:kern w:val="0"/>
        </w:rPr>
        <w:t>标准采样体积，单位为升（L）</w:t>
      </w:r>
      <w:r>
        <w:rPr>
          <w:rFonts w:hint="eastAsia" w:ascii="Times New Roman" w:hAnsi="Times New Roman" w:eastAsia="新宋体"/>
          <w:kern w:val="0"/>
        </w:rPr>
        <w:t>；</w:t>
      </w:r>
    </w:p>
    <w:p w14:paraId="0EEC8A7E">
      <w:pPr>
        <w:widowControl/>
        <w:ind w:firstLine="420" w:firstLineChars="200"/>
        <w:jc w:val="left"/>
        <w:rPr>
          <w:rFonts w:ascii="Times New Roman" w:hAnsi="Times New Roman" w:eastAsia="新宋体"/>
          <w:kern w:val="0"/>
        </w:rPr>
      </w:pPr>
      <w:r>
        <w:rPr>
          <w:rFonts w:ascii="Times New Roman" w:hAnsi="Times New Roman"/>
          <w:i/>
          <w:iCs/>
        </w:rPr>
        <w:t>D</w:t>
      </w:r>
      <w:r>
        <w:rPr>
          <w:rFonts w:hint="eastAsia"/>
        </w:rPr>
        <w:t>——洗脱效率，</w:t>
      </w:r>
      <w:r>
        <w:rPr>
          <w:rFonts w:ascii="Times New Roman" w:hAnsi="Times New Roman"/>
        </w:rPr>
        <w:t>%</w:t>
      </w:r>
      <w:r>
        <w:rPr>
          <w:rFonts w:hint="eastAsia"/>
        </w:rPr>
        <w:t>。</w:t>
      </w:r>
    </w:p>
    <w:p w14:paraId="283F9C04">
      <w:pPr>
        <w:pStyle w:val="65"/>
        <w:spacing w:before="156" w:after="156"/>
        <w:rPr>
          <w:rFonts w:ascii="Times New Roman" w:eastAsia="新宋体"/>
          <w:szCs w:val="21"/>
        </w:rPr>
      </w:pPr>
      <w:r>
        <w:rPr>
          <w:rFonts w:ascii="Times New Roman" w:eastAsia="新宋体"/>
          <w:szCs w:val="21"/>
        </w:rPr>
        <w:t>空气中的时间加权平均接触浓度（C</w:t>
      </w:r>
      <w:r>
        <w:rPr>
          <w:rFonts w:ascii="Times New Roman" w:eastAsia="新宋体"/>
          <w:szCs w:val="21"/>
          <w:vertAlign w:val="subscript"/>
        </w:rPr>
        <w:t>TWA</w:t>
      </w:r>
      <w:r>
        <w:rPr>
          <w:rFonts w:ascii="Times New Roman" w:eastAsia="新宋体"/>
          <w:szCs w:val="21"/>
        </w:rPr>
        <w:t>）按GBZ 159规定计算。</w:t>
      </w:r>
    </w:p>
    <w:p w14:paraId="49C814AD">
      <w:pPr>
        <w:pStyle w:val="105"/>
        <w:spacing w:before="156" w:after="156"/>
        <w:rPr>
          <w:rFonts w:hint="eastAsia"/>
        </w:rPr>
      </w:pPr>
      <w:r>
        <w:rPr>
          <w:rFonts w:hint="eastAsia"/>
        </w:rPr>
        <w:t>说明</w:t>
      </w:r>
    </w:p>
    <w:p w14:paraId="63C74045">
      <w:pPr>
        <w:pStyle w:val="65"/>
        <w:spacing w:before="156" w:after="156"/>
        <w:rPr>
          <w:rFonts w:ascii="Times New Roman" w:eastAsia="宋体"/>
          <w:kern w:val="2"/>
          <w:szCs w:val="24"/>
        </w:rPr>
      </w:pPr>
      <w:r>
        <w:rPr>
          <w:rFonts w:ascii="Times New Roman" w:eastAsia="宋体"/>
          <w:kern w:val="2"/>
          <w:szCs w:val="24"/>
        </w:rPr>
        <w:t>本法按照 GBZ/T 210.4的方法和要求进行研制。本法的检出限为0.011 μg/mL，定量下限为0.0</w:t>
      </w:r>
      <w:r>
        <w:rPr>
          <w:rFonts w:hint="eastAsia" w:ascii="Times New Roman" w:eastAsia="宋体"/>
          <w:kern w:val="2"/>
          <w:szCs w:val="24"/>
          <w:lang w:val="en-US" w:eastAsia="zh-CN"/>
        </w:rPr>
        <w:t>5</w:t>
      </w:r>
      <w:r>
        <w:rPr>
          <w:rFonts w:ascii="Times New Roman" w:eastAsia="宋体"/>
          <w:kern w:val="2"/>
          <w:szCs w:val="24"/>
        </w:rPr>
        <w:t xml:space="preserve"> µg/mL</w:t>
      </w:r>
      <w:r>
        <w:rPr>
          <w:rFonts w:hint="eastAsia" w:ascii="Times New Roman" w:eastAsia="宋体"/>
          <w:kern w:val="2"/>
          <w:szCs w:val="24"/>
          <w:lang w:eastAsia="zh-CN"/>
        </w:rPr>
        <w:t>，</w:t>
      </w:r>
      <w:r>
        <w:rPr>
          <w:rFonts w:ascii="Times New Roman" w:eastAsia="宋体"/>
          <w:kern w:val="2"/>
          <w:szCs w:val="24"/>
        </w:rPr>
        <w:t>定量测定范围为0.05 µg/mL～1.0 µg/mL；以采集30 L空气样品</w:t>
      </w:r>
      <w:r>
        <w:rPr>
          <w:rFonts w:hint="eastAsia" w:ascii="Times New Roman" w:eastAsia="宋体"/>
          <w:kern w:val="2"/>
          <w:szCs w:val="24"/>
          <w:lang w:val="en-US" w:eastAsia="zh-CN"/>
        </w:rPr>
        <w:t>计</w:t>
      </w:r>
      <w:r>
        <w:rPr>
          <w:rFonts w:ascii="Times New Roman" w:eastAsia="宋体"/>
          <w:kern w:val="2"/>
          <w:szCs w:val="24"/>
        </w:rPr>
        <w:t>，最低检出浓度</w:t>
      </w:r>
      <w:r>
        <w:rPr>
          <w:rFonts w:hint="eastAsia" w:ascii="Times New Roman" w:eastAsia="宋体"/>
          <w:kern w:val="2"/>
          <w:szCs w:val="24"/>
          <w:lang w:val="en-US" w:eastAsia="zh-CN"/>
        </w:rPr>
        <w:t>为</w:t>
      </w:r>
      <w:r>
        <w:rPr>
          <w:rFonts w:ascii="Times New Roman" w:eastAsia="宋体"/>
          <w:kern w:val="2"/>
          <w:szCs w:val="24"/>
        </w:rPr>
        <w:t>0.0037 mg/m</w:t>
      </w:r>
      <w:r>
        <w:rPr>
          <w:rFonts w:ascii="Times New Roman" w:eastAsia="宋体"/>
          <w:kern w:val="2"/>
          <w:szCs w:val="24"/>
          <w:vertAlign w:val="superscript"/>
        </w:rPr>
        <w:t>3</w:t>
      </w:r>
      <w:r>
        <w:rPr>
          <w:rFonts w:ascii="Times New Roman" w:eastAsia="宋体"/>
          <w:kern w:val="2"/>
          <w:szCs w:val="24"/>
        </w:rPr>
        <w:t>，最低定量浓度</w:t>
      </w:r>
      <w:r>
        <w:rPr>
          <w:rFonts w:hint="eastAsia" w:ascii="Times New Roman" w:eastAsia="宋体"/>
          <w:kern w:val="2"/>
          <w:szCs w:val="24"/>
          <w:lang w:val="en-US" w:eastAsia="zh-CN"/>
        </w:rPr>
        <w:t>为</w:t>
      </w:r>
      <w:r>
        <w:rPr>
          <w:rFonts w:ascii="Times New Roman" w:eastAsia="宋体"/>
          <w:kern w:val="2"/>
          <w:szCs w:val="24"/>
        </w:rPr>
        <w:t>0.01</w:t>
      </w:r>
      <w:r>
        <w:rPr>
          <w:rFonts w:hint="eastAsia" w:ascii="Times New Roman" w:eastAsia="宋体"/>
          <w:kern w:val="2"/>
          <w:szCs w:val="24"/>
          <w:lang w:val="en-US" w:eastAsia="zh-CN"/>
        </w:rPr>
        <w:t>7</w:t>
      </w:r>
      <w:r>
        <w:rPr>
          <w:rFonts w:ascii="Times New Roman" w:eastAsia="宋体"/>
          <w:kern w:val="2"/>
          <w:szCs w:val="24"/>
        </w:rPr>
        <w:t xml:space="preserve"> mg/m</w:t>
      </w:r>
      <w:r>
        <w:rPr>
          <w:rFonts w:ascii="Times New Roman" w:eastAsia="宋体"/>
          <w:kern w:val="2"/>
          <w:szCs w:val="24"/>
          <w:vertAlign w:val="superscript"/>
        </w:rPr>
        <w:t>3</w:t>
      </w:r>
      <w:r>
        <w:rPr>
          <w:rFonts w:hint="eastAsia" w:ascii="Times New Roman" w:eastAsia="宋体"/>
          <w:kern w:val="2"/>
          <w:szCs w:val="24"/>
          <w:lang w:eastAsia="zh-CN"/>
        </w:rPr>
        <w:t>；</w:t>
      </w:r>
      <w:r>
        <w:rPr>
          <w:rFonts w:ascii="Times New Roman" w:eastAsia="宋体"/>
          <w:kern w:val="2"/>
          <w:szCs w:val="24"/>
        </w:rPr>
        <w:t>批内精密度为1.8%～6.6%，批间精密度为3.2%～4.6%；加标回收率为95.6%～97.7%；本法的平均采样效率和洗脱效率均</w:t>
      </w:r>
      <w:r>
        <w:rPr>
          <w:rFonts w:hint="eastAsia" w:ascii="Times New Roman" w:eastAsia="宋体"/>
          <w:kern w:val="2"/>
          <w:szCs w:val="24"/>
        </w:rPr>
        <w:t>＞</w:t>
      </w:r>
      <w:r>
        <w:rPr>
          <w:rFonts w:ascii="Times New Roman" w:eastAsia="宋体"/>
          <w:kern w:val="2"/>
          <w:szCs w:val="24"/>
        </w:rPr>
        <w:t>95%。</w:t>
      </w:r>
    </w:p>
    <w:p w14:paraId="510A6BF1">
      <w:pPr>
        <w:pStyle w:val="65"/>
        <w:spacing w:before="156" w:after="156"/>
        <w:rPr>
          <w:rFonts w:ascii="Times New Roman" w:eastAsia="宋体"/>
          <w:kern w:val="2"/>
          <w:szCs w:val="24"/>
        </w:rPr>
      </w:pPr>
      <w:r>
        <w:rPr>
          <w:rFonts w:ascii="Times New Roman" w:eastAsia="宋体"/>
          <w:kern w:val="2"/>
          <w:szCs w:val="24"/>
        </w:rPr>
        <w:t>样品于室温条件下至少可稳定保存14天。</w:t>
      </w:r>
    </w:p>
    <w:p w14:paraId="518EBE72">
      <w:pPr>
        <w:pStyle w:val="65"/>
        <w:spacing w:before="156" w:after="156"/>
        <w:rPr>
          <w:rFonts w:ascii="Times New Roman" w:eastAsia="宋体"/>
          <w:kern w:val="2"/>
          <w:szCs w:val="24"/>
        </w:rPr>
      </w:pPr>
      <w:r>
        <w:rPr>
          <w:rFonts w:ascii="Times New Roman" w:eastAsia="宋体"/>
          <w:kern w:val="2"/>
          <w:szCs w:val="24"/>
        </w:rPr>
        <w:t>玻璃纤维滤纸对草铵膦的穿透容量大于1.68 mg。</w:t>
      </w:r>
    </w:p>
    <w:p w14:paraId="42D86FDB">
      <w:pPr>
        <w:pStyle w:val="65"/>
        <w:spacing w:before="156" w:after="156"/>
        <w:rPr>
          <w:rFonts w:ascii="Times New Roman" w:eastAsia="宋体"/>
          <w:kern w:val="2"/>
          <w:szCs w:val="24"/>
        </w:rPr>
      </w:pPr>
      <w:r>
        <w:rPr>
          <w:rFonts w:ascii="Times New Roman" w:eastAsia="宋体"/>
          <w:kern w:val="2"/>
          <w:szCs w:val="24"/>
        </w:rPr>
        <w:t>氟离子、氯离子、硝酸根离子、硫酸根离子等常见离子可以与草铵膦完全分开，不影响草铵膦的测定。色谱分离参考图见图1。</w:t>
      </w:r>
    </w:p>
    <w:p w14:paraId="45EAD220">
      <w:pPr>
        <w:pStyle w:val="114"/>
        <w:numPr>
          <w:ilvl w:val="0"/>
          <w:numId w:val="0"/>
        </w:numPr>
        <w:spacing w:before="156" w:after="156"/>
        <w:rPr>
          <w:rFonts w:hint="eastAsia"/>
        </w:rPr>
      </w:pPr>
      <w:r>
        <w:rPr>
          <w:rFonts w:hint="eastAsia" w:eastAsia="黑体"/>
          <w:lang w:eastAsia="zh-CN"/>
        </w:rPr>
        <w:drawing>
          <wp:inline distT="0" distB="0" distL="114300" distR="114300">
            <wp:extent cx="3928745" cy="2792095"/>
            <wp:effectExtent l="0" t="0" r="8255" b="190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8"/>
                    <a:srcRect l="9145" t="7191" r="11864" b="4282"/>
                    <a:stretch>
                      <a:fillRect/>
                    </a:stretch>
                  </pic:blipFill>
                  <pic:spPr>
                    <a:xfrm>
                      <a:off x="0" y="0"/>
                      <a:ext cx="3928745" cy="2792095"/>
                    </a:xfrm>
                    <a:prstGeom prst="rect">
                      <a:avLst/>
                    </a:prstGeom>
                    <a:noFill/>
                    <a:ln>
                      <a:noFill/>
                    </a:ln>
                  </pic:spPr>
                </pic:pic>
              </a:graphicData>
            </a:graphic>
          </wp:inline>
        </w:drawing>
      </w:r>
    </w:p>
    <w:p w14:paraId="32994FD7">
      <w:pPr>
        <w:widowControl/>
        <w:adjustRightInd/>
        <w:spacing w:line="320" w:lineRule="exact"/>
        <w:rPr>
          <w:rFonts w:hint="eastAsia" w:ascii="Times New Roman"/>
          <w:kern w:val="2"/>
          <w:sz w:val="18"/>
          <w:szCs w:val="18"/>
          <w:lang w:val="en-US" w:eastAsia="zh-CN"/>
        </w:rPr>
      </w:pPr>
      <w:r>
        <w:rPr>
          <w:rFonts w:hint="eastAsia" w:ascii="Times New Roman"/>
          <w:kern w:val="2"/>
          <w:sz w:val="18"/>
          <w:szCs w:val="18"/>
          <w:lang w:val="en-US" w:eastAsia="zh-CN"/>
        </w:rPr>
        <w:t>说明：</w:t>
      </w:r>
    </w:p>
    <w:p w14:paraId="10F9ACD1">
      <w:pPr>
        <w:widowControl/>
        <w:adjustRightInd/>
        <w:spacing w:line="320" w:lineRule="exact"/>
        <w:rPr>
          <w:rFonts w:ascii="Times New Roman" w:hAnsi="Times New Roman"/>
          <w:sz w:val="18"/>
          <w:szCs w:val="18"/>
        </w:rPr>
      </w:pPr>
      <w:r>
        <w:rPr>
          <w:rFonts w:ascii="Times New Roman" w:hAnsi="Times New Roman"/>
          <w:sz w:val="18"/>
          <w:szCs w:val="18"/>
        </w:rPr>
        <w:t>1—氟离子（5.80 min)；</w:t>
      </w:r>
    </w:p>
    <w:p w14:paraId="169B8615">
      <w:pPr>
        <w:widowControl/>
        <w:adjustRightInd/>
        <w:spacing w:line="320" w:lineRule="exact"/>
        <w:rPr>
          <w:rFonts w:ascii="Times New Roman" w:hAnsi="Times New Roman"/>
          <w:sz w:val="18"/>
          <w:szCs w:val="18"/>
        </w:rPr>
      </w:pPr>
      <w:r>
        <w:rPr>
          <w:rFonts w:ascii="Times New Roman" w:hAnsi="Times New Roman"/>
          <w:sz w:val="18"/>
          <w:szCs w:val="18"/>
        </w:rPr>
        <w:t>2—氯离子（7.32 min)；</w:t>
      </w:r>
    </w:p>
    <w:p w14:paraId="0375FF65">
      <w:pPr>
        <w:widowControl/>
        <w:adjustRightInd/>
        <w:spacing w:line="320" w:lineRule="exact"/>
        <w:rPr>
          <w:rFonts w:ascii="Times New Roman" w:hAnsi="Times New Roman"/>
          <w:sz w:val="18"/>
          <w:szCs w:val="18"/>
        </w:rPr>
      </w:pPr>
      <w:r>
        <w:rPr>
          <w:rFonts w:ascii="Times New Roman" w:hAnsi="Times New Roman"/>
          <w:sz w:val="18"/>
          <w:szCs w:val="18"/>
        </w:rPr>
        <w:t>3—硝酸根离子（12.68 min)；</w:t>
      </w:r>
    </w:p>
    <w:p w14:paraId="64105F3C">
      <w:pPr>
        <w:widowControl/>
        <w:adjustRightInd/>
        <w:spacing w:line="320" w:lineRule="exact"/>
        <w:rPr>
          <w:rFonts w:ascii="Times New Roman" w:hAnsi="Times New Roman"/>
          <w:sz w:val="18"/>
          <w:szCs w:val="18"/>
        </w:rPr>
      </w:pPr>
      <w:r>
        <w:rPr>
          <w:rFonts w:ascii="Times New Roman" w:hAnsi="Times New Roman"/>
          <w:sz w:val="18"/>
          <w:szCs w:val="18"/>
        </w:rPr>
        <w:t>4—草铵膦（16.98 min)；</w:t>
      </w:r>
    </w:p>
    <w:p w14:paraId="3E3CC96B">
      <w:pPr>
        <w:widowControl/>
        <w:adjustRightInd/>
        <w:spacing w:line="320" w:lineRule="exact"/>
        <w:rPr>
          <w:rFonts w:hint="eastAsia" w:ascii="Times New Roman" w:hAnsi="Times New Roman"/>
          <w:sz w:val="18"/>
          <w:szCs w:val="18"/>
          <w:vertAlign w:val="superscript"/>
        </w:rPr>
      </w:pPr>
      <w:r>
        <w:rPr>
          <w:rFonts w:ascii="Times New Roman" w:hAnsi="Times New Roman"/>
          <w:sz w:val="18"/>
          <w:szCs w:val="18"/>
        </w:rPr>
        <w:t>5—硫酸根离子（29.73 min)。</w:t>
      </w:r>
    </w:p>
    <w:p w14:paraId="7C76B832">
      <w:pPr>
        <w:pStyle w:val="114"/>
        <w:spacing w:before="156" w:after="156"/>
        <w:rPr>
          <w:rFonts w:hint="eastAsia"/>
        </w:rPr>
      </w:pPr>
      <w:r>
        <w:rPr>
          <w:rFonts w:hint="eastAsia"/>
        </w:rPr>
        <w:t>色谱</w:t>
      </w:r>
      <w:r>
        <w:t>分离</w:t>
      </w:r>
      <w:r>
        <w:rPr>
          <w:rFonts w:hint="eastAsia"/>
        </w:rPr>
        <w:t>参考图</w:t>
      </w:r>
    </w:p>
    <w:bookmarkEnd w:id="24"/>
    <w:p w14:paraId="7FEED298">
      <w:pPr>
        <w:pStyle w:val="56"/>
        <w:ind w:firstLine="0" w:firstLineChars="0"/>
        <w:jc w:val="center"/>
        <w:rPr>
          <w:rFonts w:hint="eastAsia"/>
        </w:rPr>
      </w:pPr>
      <w:bookmarkStart w:id="54" w:name="BookMark8"/>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headerReference r:id="rId12" w:type="default"/>
      <w:footerReference r:id="rId13" w:type="default"/>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9A5B">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2D9F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7A27E">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FD28">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8521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9F2C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12B99">
    <w:pPr>
      <w:pStyle w:val="61"/>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B217E">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4CC1C">
    <w:pPr>
      <w:pStyle w:val="61"/>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23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2+fuiIQ2943Scov/dyiPi5wmbrARrAmdIiQRZpxYaQ6ZsC51e3F/d8DNSfULL4lvc419xikvgAkPzAc27z8bhQ==" w:salt="RxVgalTAHzNt8AIcr9AdM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D1747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2BF"/>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2CA"/>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312"/>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7A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0C66"/>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475"/>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5F0"/>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4E7"/>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9B41F4"/>
    <w:rsid w:val="12B80D06"/>
    <w:rsid w:val="1439509D"/>
    <w:rsid w:val="29CA5F63"/>
    <w:rsid w:val="343803E9"/>
    <w:rsid w:val="389832F3"/>
    <w:rsid w:val="4CE6249E"/>
    <w:rsid w:val="50561C8F"/>
    <w:rsid w:val="53B844C3"/>
    <w:rsid w:val="5D521F6E"/>
    <w:rsid w:val="60E23DC9"/>
    <w:rsid w:val="6BE465F1"/>
    <w:rsid w:val="6ECD3423"/>
    <w:rsid w:val="71F33C05"/>
    <w:rsid w:val="76D503A8"/>
    <w:rsid w:val="7EAC6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二级条标题"/>
    <w:basedOn w:val="1"/>
    <w:next w:val="1"/>
    <w:qFormat/>
    <w:uiPriority w:val="0"/>
    <w:pPr>
      <w:widowControl/>
      <w:numPr>
        <w:ilvl w:val="2"/>
        <w:numId w:val="2"/>
      </w:numPr>
      <w:adjustRightInd/>
      <w:spacing w:before="50" w:beforeLines="50" w:after="50" w:afterLines="50" w:line="240" w:lineRule="auto"/>
      <w:jc w:val="left"/>
      <w:outlineLvl w:val="3"/>
    </w:pPr>
    <w:rPr>
      <w:rFonts w:ascii="黑体" w:hAnsi="Times New Roman" w:eastAsia="黑体"/>
      <w:kern w:val="0"/>
    </w:rPr>
  </w:style>
  <w:style w:type="paragraph" w:customStyle="1" w:styleId="231">
    <w:name w:val="字母编号列项（一级）"/>
    <w:qFormat/>
    <w:uiPriority w:val="0"/>
    <w:pPr>
      <w:numPr>
        <w:ilvl w:val="0"/>
        <w:numId w:val="4"/>
      </w:numPr>
      <w:tabs>
        <w:tab w:val="left" w:pos="840"/>
      </w:tabs>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tiff"/><Relationship Id="rId17" Type="http://schemas.openxmlformats.org/officeDocument/2006/relationships/image" Target="media/image2.w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1D6135DE9ED4E22A4D415C6D6135176"/>
        <w:style w:val=""/>
        <w:category>
          <w:name w:val="常规"/>
          <w:gallery w:val="placeholder"/>
        </w:category>
        <w:types>
          <w:type w:val="bbPlcHdr"/>
        </w:types>
        <w:behaviors>
          <w:behavior w:val="content"/>
        </w:behaviors>
        <w:description w:val=""/>
        <w:guid w:val="{7944DEDB-5D6B-42EF-A1F9-A6EDB61A3B0D}"/>
      </w:docPartPr>
      <w:docPartBody>
        <w:p w14:paraId="753BAE24">
          <w:pPr>
            <w:pStyle w:val="5"/>
          </w:pPr>
          <w:r>
            <w:rPr>
              <w:rStyle w:val="4"/>
              <w:rFonts w:hint="eastAsia"/>
            </w:rPr>
            <w:t>单击或点击此处输入文字。</w:t>
          </w:r>
        </w:p>
      </w:docPartBody>
    </w:docPart>
    <w:docPart>
      <w:docPartPr>
        <w:name w:val="2AA248228BA347B9A7FAB91463BB6866"/>
        <w:style w:val=""/>
        <w:category>
          <w:name w:val="常规"/>
          <w:gallery w:val="placeholder"/>
        </w:category>
        <w:types>
          <w:type w:val="bbPlcHdr"/>
        </w:types>
        <w:behaviors>
          <w:behavior w:val="content"/>
        </w:behaviors>
        <w:description w:val=""/>
        <w:guid w:val="{82236D99-60D3-4372-AE48-5E94768A78CB}"/>
      </w:docPartPr>
      <w:docPartBody>
        <w:p w14:paraId="021538DD">
          <w:pPr>
            <w:pStyle w:val="6"/>
          </w:pPr>
          <w:r>
            <w:rPr>
              <w:rStyle w:val="4"/>
              <w:rFonts w:hint="eastAsia"/>
            </w:rPr>
            <w:t>选择一项。</w:t>
          </w:r>
        </w:p>
      </w:docPartBody>
    </w:docPart>
    <w:docPart>
      <w:docPartPr>
        <w:name w:val="EE9C88F92D1A406090EAE77C4FDF773D"/>
        <w:style w:val=""/>
        <w:category>
          <w:name w:val="常规"/>
          <w:gallery w:val="placeholder"/>
        </w:category>
        <w:types>
          <w:type w:val="bbPlcHdr"/>
        </w:types>
        <w:behaviors>
          <w:behavior w:val="content"/>
        </w:behaviors>
        <w:description w:val=""/>
        <w:guid w:val="{BA77B1CE-B4DA-4419-A616-5C47BC23E03E}"/>
      </w:docPartPr>
      <w:docPartBody>
        <w:p w14:paraId="6C1C28A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C42"/>
    <w:rsid w:val="00952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1D6135DE9ED4E22A4D415C6D61351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AA248228BA347B9A7FAB91463BB686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E9C88F92D1A406090EAE77C4FDF773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A1BF8-6529-4698-950A-79E53AD1E5D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2235</Words>
  <Characters>2730</Characters>
  <Lines>289</Lines>
  <Paragraphs>260</Paragraphs>
  <TotalTime>1</TotalTime>
  <ScaleCrop>false</ScaleCrop>
  <LinksUpToDate>false</LinksUpToDate>
  <CharactersWithSpaces>2865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2024-08-01T07:02:00Z</dcterms:created>
  <dc:creator>lihuasuo</dc:creator>
  <dc:description>&lt;config cover="true" show_menu="true" version="1.0.0" doctype="SDKXY"&gt;_x000d_
&lt;/config&gt;</dc:description>
  <cp:lastModifiedBy>～0℃</cp:lastModifiedBy>
  <cp:lastPrinted>2020-08-30T10:00:00Z</cp:lastPrinted>
  <dcterms:modified xsi:type="dcterms:W3CDTF">2024-08-16T02:46:47Z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5F2D6E7B07D44B188820095DCCBAC707_12</vt:lpwstr>
  </property>
</Properties>
</file>